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118110</wp:posOffset>
            </wp:positionV>
            <wp:extent cx="1714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8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December 13, 2022</w:t>
      </w:r>
    </w:p>
    <w:p>
      <w:pPr>
        <w:spacing w:after="0" w:line="1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Date of Report (Date of earliest event reported)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2713990</wp:posOffset>
            </wp:positionH>
            <wp:positionV relativeFrom="paragraph">
              <wp:posOffset>133350</wp:posOffset>
            </wp:positionV>
            <wp:extent cx="1714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1"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Progress Software Corporation</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1080"/>
          </w:cols>
          <w:pgMar w:left="320" w:top="1208" w:right="499" w:bottom="1440" w:gutter="0" w:footer="0" w:header="0"/>
        </w:sectPr>
      </w:pPr>
    </w:p>
    <w:p>
      <w:pPr>
        <w:spacing w:after="0" w:line="200" w:lineRule="exact"/>
        <w:rPr>
          <w:sz w:val="24"/>
          <w:szCs w:val="24"/>
          <w:color w:val="auto"/>
        </w:rPr>
      </w:pPr>
    </w:p>
    <w:p>
      <w:pPr>
        <w:spacing w:after="0" w:line="285" w:lineRule="exact"/>
        <w:rPr>
          <w:sz w:val="24"/>
          <w:szCs w:val="24"/>
          <w:color w:val="auto"/>
        </w:rPr>
      </w:pPr>
    </w:p>
    <w:p>
      <w:pPr>
        <w:jc w:val="center"/>
        <w:ind w:left="7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0-19417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5" w:lineRule="exact"/>
        <w:rPr>
          <w:sz w:val="24"/>
          <w:szCs w:val="24"/>
          <w:color w:val="auto"/>
        </w:rPr>
      </w:pPr>
    </w:p>
    <w:p>
      <w:pPr>
        <w:jc w:val="center"/>
        <w:ind w:right="1980"/>
        <w:spacing w:after="0"/>
        <w:rPr>
          <w:sz w:val="20"/>
          <w:szCs w:val="20"/>
          <w:color w:val="auto"/>
        </w:rPr>
      </w:pPr>
      <w:r>
        <w:rPr>
          <w:rFonts w:ascii="Times New Roman" w:cs="Times New Roman" w:eastAsia="Times New Roman" w:hAnsi="Times New Roman"/>
          <w:sz w:val="17"/>
          <w:szCs w:val="17"/>
          <w:b w:val="1"/>
          <w:bCs w:val="1"/>
          <w:color w:val="auto"/>
        </w:rPr>
        <w:t>04-2746201</w:t>
      </w:r>
    </w:p>
    <w:p>
      <w:pPr>
        <w:spacing w:after="0" w:line="47" w:lineRule="exact"/>
        <w:rPr>
          <w:sz w:val="24"/>
          <w:szCs w:val="24"/>
          <w:color w:val="auto"/>
        </w:rPr>
      </w:pPr>
    </w:p>
    <w:p>
      <w:pPr>
        <w:sectPr>
          <w:pgSz w:w="11900" w:h="16838" w:orient="portrait"/>
          <w:cols w:equalWidth="0" w:num="3">
            <w:col w:w="4800" w:space="720"/>
            <w:col w:w="2000" w:space="720"/>
            <w:col w:w="2840"/>
          </w:cols>
          <w:pgMar w:left="320" w:top="1208" w:right="499" w:bottom="1440" w:gutter="0" w:footer="0" w:header="0"/>
          <w:type w:val="continuous"/>
        </w:sectPr>
      </w:pPr>
    </w:p>
    <w:p>
      <w:pPr>
        <w:ind w:left="106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90" w:lineRule="exact"/>
        <w:rPr>
          <w:sz w:val="24"/>
          <w:szCs w:val="24"/>
          <w:color w:val="auto"/>
        </w:rPr>
      </w:pPr>
    </w:p>
    <w:p>
      <w:pPr>
        <w:sectPr>
          <w:pgSz w:w="11900" w:h="16838" w:orient="portrait"/>
          <w:cols w:equalWidth="0" w:num="3">
            <w:col w:w="4500" w:space="560"/>
            <w:col w:w="1840" w:space="720"/>
            <w:col w:w="3460"/>
          </w:cols>
          <w:pgMar w:left="320" w:top="1208" w:right="499" w:bottom="1440" w:gutter="0" w:footer="0" w:header="0"/>
          <w:type w:val="continuous"/>
        </w:sect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15 Wayside Road, Suite 400</w:t>
      </w:r>
    </w:p>
    <w:p>
      <w:pPr>
        <w:spacing w:after="0" w:line="3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Burlington, Massachusetts 01803</w:t>
      </w:r>
    </w:p>
    <w:p>
      <w:pPr>
        <w:spacing w:after="0" w:line="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(Address of principal executive offices, including zip code)</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(781) 280-4000</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6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color w:val="auto"/>
        </w:rPr>
        <w:t>(Former name or former address, if changed since last report.)</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4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6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61"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35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ectPr>
          <w:pgSz w:w="11900" w:h="16838" w:orient="portrait"/>
          <w:cols w:equalWidth="0" w:num="1">
            <w:col w:w="11080"/>
          </w:cols>
          <w:pgMar w:left="320" w:top="1208" w:right="499" w:bottom="1440" w:gutter="0" w:footer="0" w:header="0"/>
          <w:type w:val="continuous"/>
        </w:sectPr>
      </w:pPr>
    </w:p>
    <w:p>
      <w:pPr>
        <w:spacing w:after="0" w:line="140"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Name of each exchange on which registered</w:t>
      </w:r>
    </w:p>
    <w:p>
      <w:pPr>
        <w:spacing w:after="0" w:line="30" w:lineRule="exact"/>
        <w:rPr>
          <w:sz w:val="24"/>
          <w:szCs w:val="24"/>
          <w:color w:val="auto"/>
        </w:rPr>
      </w:pPr>
    </w:p>
    <w:p>
      <w:pPr>
        <w:sectPr>
          <w:pgSz w:w="11900" w:h="16838" w:orient="portrait"/>
          <w:cols w:equalWidth="0" w:num="3">
            <w:col w:w="4280" w:space="720"/>
            <w:col w:w="1980" w:space="720"/>
            <w:col w:w="3380"/>
          </w:cols>
          <w:pgMar w:left="320" w:top="1208" w:right="49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PRGS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p>
      <w:pPr>
        <w:spacing w:after="0" w:line="200" w:lineRule="exact"/>
        <w:rPr>
          <w:sz w:val="24"/>
          <w:szCs w:val="24"/>
          <w:color w:val="auto"/>
        </w:rPr>
      </w:pPr>
    </w:p>
    <w:p>
      <w:pPr>
        <w:sectPr>
          <w:pgSz w:w="11900" w:h="16838" w:orient="portrait"/>
          <w:cols w:equalWidth="0" w:num="3">
            <w:col w:w="4680" w:space="720"/>
            <w:col w:w="1920" w:space="720"/>
            <w:col w:w="3040"/>
          </w:cols>
          <w:pgMar w:left="320" w:top="1208" w:right="499" w:bottom="1440" w:gutter="0" w:footer="0" w:header="0"/>
          <w:type w:val="continuous"/>
        </w:sectPr>
      </w:pPr>
    </w:p>
    <w:p>
      <w:pPr>
        <w:spacing w:after="0" w:line="158"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2"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7"/>
          <w:szCs w:val="17"/>
          <w:color w:val="auto"/>
        </w:rPr>
        <w:t>☐</w:t>
      </w:r>
    </w:p>
    <w:p>
      <w:pPr>
        <w:spacing w:after="0" w:line="297" w:lineRule="exact"/>
        <w:rPr>
          <w:sz w:val="24"/>
          <w:szCs w:val="24"/>
          <w:color w:val="auto"/>
        </w:rPr>
      </w:pPr>
    </w:p>
    <w:p>
      <w:pPr>
        <w:ind w:right="420"/>
        <w:spacing w:after="0" w:line="21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08"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Following the detection of irregular activity on certain portions of its corporate network, Progress Software Corporation (“Progress” or “the Company”) engaged outside cybersecurity experts and other incident response professionals to conduct a forensic investigation and assess the extent and scope of the cyber incident. During the investigation, Progress and its external advisors uncovered evidence of unauthorized access to Progress’ corporate network, including evidence that certain company data has been exfiltrated.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Progress has remained fully operational throughout this cyber incident. While Progress’ investigation remains ongoing, the Company (i) has and is continuing to implement a series of containment and related measures aimed at addressing this cyber incident and further strengthening the overall security of its information technology systems, (ii) has engaged outside legal counsel to conduct a thorough independent investigation of the cyber incident, and (iii) has engaged federal law enforcement with respect to the cyber incident.</w:t>
      </w:r>
    </w:p>
    <w:p>
      <w:pPr>
        <w:spacing w:after="0" w:line="212" w:lineRule="exact"/>
        <w:rPr>
          <w:sz w:val="20"/>
          <w:szCs w:val="20"/>
          <w:color w:val="auto"/>
        </w:rPr>
      </w:pPr>
    </w:p>
    <w:p>
      <w:pPr>
        <w:jc w:val="both"/>
        <w:ind w:right="340"/>
        <w:spacing w:after="0" w:line="250" w:lineRule="auto"/>
        <w:rPr>
          <w:sz w:val="20"/>
          <w:szCs w:val="20"/>
          <w:color w:val="auto"/>
        </w:rPr>
      </w:pPr>
      <w:r>
        <w:rPr>
          <w:rFonts w:ascii="Times New Roman" w:cs="Times New Roman" w:eastAsia="Times New Roman" w:hAnsi="Times New Roman"/>
          <w:sz w:val="18"/>
          <w:szCs w:val="18"/>
          <w:color w:val="auto"/>
        </w:rPr>
        <w:t>As the investigation remains ongoing, Progress will continue to assess the potential impact on its business, operations and financial results. Based upon Progress’ assessment of the investigation at this time, the Company currently does not believe that the cyber incident will have a material impact on its business, operations or financial results.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Note Regarding Forward-Looking Statements</w:t>
      </w:r>
    </w:p>
    <w:p>
      <w:pPr>
        <w:spacing w:after="0" w:line="24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This periodic report on Form 8-K contains statements that are “forward-looking statements” within the meaning of Section 27A of the Securities Act of 1933, as amended, and Section 21E of the Securities Exchange Act of 1934, as amended. Progress has identified some of these forward-looking statements with words like “believe,” “may,” “could,” “would,” “might,” “should,” “expect,” “intend,” “plan,” “target,” “anticipate” and “continue,” the negative of these words, other terms of similar meaning or the use of future dates. Forward-looking statements in this report include, but are not limited to, statements regarding Progress’ business outlook, the actual or potential impact of the cyber incident, and financial guidance related thereto. There are a number of factors that could cause actual results or future events to differ materially from those anticipated by the forward-looking statements, including, without limitation: (i) the impact of the unauthorized access to our corporate network or other future similar activities; (ii) if the security measures for our software, services, other offerings or our internal information technology infrastructure are compromised or subject to a successful cyber-attack, or if our software offerings contain significant coding or configuration errors, we may experience reputational harm, legal claims and financial exposure; (iii) economic, geopolitical and market conditions can adversely affect our business, results of operations and financial condition, including our revenue growth and profitability, which in turn could adversely affect our stock price; (iv) our international sales and operations subject us to additional risks that can adversely affect our operating results, including risks relating to foreign currency gains and losses; and (v) we may fail to achieve our financial forecasts for a variety of reasons, including but not limited to as a result of cyber incidents. For further information regarding risks and uncertainties associated with Progress’ business, please refer to Progress’ filings with the Securities and Exchange Commission, including its Annual Report on Form 10-K for the fiscal year ended November 30, 2021, and its Quarterly Reports on Form 10-Q for the fiscal quarters ended February 28, 2022 and August 31, 2022. Progress undertakes no obligation to update any forward-looking statements, which speak only as of the date of this periodic report on Form 8-K.</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(d) Exhibits.</w:t>
            </w:r>
          </w:p>
        </w:tc>
        <w:tc>
          <w:tcPr>
            <w:tcW w:w="9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38"/>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Exhibit No.</w:t>
            </w:r>
          </w:p>
        </w:tc>
        <w:tc>
          <w:tcPr>
            <w:tcW w:w="9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99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40" w:type="dxa"/>
            <w:vAlign w:val="bottom"/>
          </w:tcPr>
          <w:p>
            <w:pPr>
              <w:spacing w:after="0"/>
              <w:rPr>
                <w:sz w:val="19"/>
                <w:szCs w:val="19"/>
                <w:color w:val="auto"/>
              </w:rPr>
            </w:pPr>
          </w:p>
        </w:tc>
      </w:tr>
      <w:tr>
        <w:trPr>
          <w:trHeight w:val="974"/>
        </w:trPr>
        <w:tc>
          <w:tcPr>
            <w:tcW w:w="11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9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52"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20"/>
        <w:spacing w:after="0"/>
        <w:tabs>
          <w:tab w:leader="none" w:pos="660" w:val="left"/>
          <w:tab w:leader="none" w:pos="6260" w:val="left"/>
        </w:tabs>
        <w:rPr>
          <w:sz w:val="20"/>
          <w:szCs w:val="20"/>
          <w:color w:val="auto"/>
        </w:rPr>
      </w:pPr>
      <w:r>
        <w:rPr>
          <w:rFonts w:ascii="Times New Roman" w:cs="Times New Roman" w:eastAsia="Times New Roman" w:hAnsi="Times New Roman"/>
          <w:sz w:val="18"/>
          <w:szCs w:val="18"/>
          <w:color w:val="auto"/>
        </w:rPr>
        <w:t>Date:</w:t>
        <w:tab/>
        <w:t>December 19, 2022</w:t>
      </w:r>
      <w:r>
        <w:rPr>
          <w:sz w:val="20"/>
          <w:szCs w:val="20"/>
          <w:color w:val="auto"/>
        </w:rPr>
        <w:tab/>
      </w:r>
      <w:r>
        <w:rPr>
          <w:rFonts w:ascii="Times New Roman" w:cs="Times New Roman" w:eastAsia="Times New Roman" w:hAnsi="Times New Roman"/>
          <w:sz w:val="17"/>
          <w:szCs w:val="17"/>
          <w:color w:val="auto"/>
        </w:rPr>
        <w:t>Progress Software Corporation</w:t>
      </w:r>
    </w:p>
    <w:p>
      <w:pPr>
        <w:spacing w:after="0" w:line="293" w:lineRule="exact"/>
        <w:rPr>
          <w:sz w:val="20"/>
          <w:szCs w:val="20"/>
          <w:color w:val="auto"/>
        </w:rPr>
      </w:pPr>
    </w:p>
    <w:p>
      <w:pPr>
        <w:ind w:left="6280"/>
        <w:spacing w:after="0"/>
        <w:tabs>
          <w:tab w:leader="none" w:pos="68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YUFAN STEPHANIE 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17145</wp:posOffset>
            </wp:positionV>
            <wp:extent cx="2768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16"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YuFan Stephanie Wang</w:t>
      </w:r>
    </w:p>
    <w:p>
      <w:pPr>
        <w:spacing w:after="0" w:line="27"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8"/>
          <w:szCs w:val="18"/>
          <w:color w:val="auto"/>
        </w:rPr>
        <w:t>Chief Legal Officer and Secretary</w:t>
      </w:r>
    </w:p>
    <w:sectPr>
      <w:pgSz w:w="11900" w:h="16838" w:orient="portrait"/>
      <w:cols w:equalWidth="0" w:num="1">
        <w:col w:w="11200"/>
      </w:cols>
      <w:pgMar w:left="320" w:top="76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2022-12-19T15:09:09Z</dcterms:created>
  <dcterms:modified xsi:type="dcterms:W3CDTF">2022-12-19T15:09:09Z</dcterms:modified>
</cp:coreProperties>
</file>