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89_prgs-8k.htm"/>
      <w:bookmarkStart w:id="1" w:name="kse26389_prgs8k"/>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20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w:t>
      </w:r>
    </w:p>
    <w:p>
      <w:pPr>
        <w:pStyle w:val="TextBody"/>
        <w:bidi w:val="0"/>
        <w:spacing w:before="0" w:after="20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22__20"/>
      <w:bookmarkEnd w:id="2"/>
      <w:r>
        <w:rPr>
          <w:rFonts w:ascii="Times New Roman;Times;Serif" w:hAnsi="Times New Roman;Times;Serif"/>
          <w:b/>
          <w:i w:val="false"/>
          <w:caps w:val="false"/>
          <w:smallCaps w:val="false"/>
          <w:sz w:val="36"/>
        </w:rPr>
        <w:t>8-K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ind w:left="0" w:right="0" w:firstLine="7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September 22, 2026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20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w:t>
      </w:r>
    </w:p>
    <w:p>
      <w:pPr>
        <w:pStyle w:val="TextBody"/>
        <w:bidi w:val="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Progress Software Corporation</w:t>
      </w:r>
      <w:r>
        <w:rPr>
          <w:rFonts w:ascii="Times New Roman;Times;Serif" w:hAnsi="Times New Roman;Times;Serif"/>
          <w:b w:val="false"/>
          <w:i w:val="false"/>
          <w:caps w:val="false"/>
          <w:smallCaps w:val="false"/>
          <w:sz w:val="48"/>
        </w:rPr>
        <w:t> </w:t>
      </w:r>
    </w:p>
    <w:p>
      <w:pPr>
        <w:pStyle w:val="TextBody"/>
        <w:bidi w:val="0"/>
        <w:jc w:val="center"/>
        <w:rPr>
          <w:rFonts w:ascii="Times New Roman;Times;Serif" w:hAnsi="Times New Roman;Times;Serif"/>
          <w:b w:val="false"/>
          <w:i w:val="false"/>
          <w:caps w:val="false"/>
          <w:smallCaps w:val="false"/>
          <w:color w:val="FFFFFF"/>
          <w:sz w:val="2"/>
        </w:rPr>
      </w:pPr>
      <w:bookmarkStart w:id="4" w:name="xdx_907_edei--EntityRegistrantName_dxL_c"/>
      <w:bookmarkEnd w:id="4"/>
      <w:r>
        <w:rPr>
          <w:rFonts w:ascii="Times New Roman;Times;Serif" w:hAnsi="Times New Roman;Times;Serif"/>
          <w:b w:val="false"/>
          <w:i w:val="false"/>
          <w:caps w:val="false"/>
          <w:smallCaps w:val="false"/>
          <w:color w:val="FFFFFF"/>
          <w:sz w:val="2"/>
        </w:rPr>
        <w:t>PROGRESS SOFTWARE CORP /MA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2"/>
        <w:gridCol w:w="2280"/>
        <w:gridCol w:w="3073"/>
      </w:tblGrid>
      <w:tr>
        <w:trPr/>
        <w:tc>
          <w:tcPr>
            <w:tcW w:w="4852" w:type="dxa"/>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2280" w:type="dxa"/>
            <w:tcBorders/>
            <w:vAlign w:val="center"/>
          </w:tcPr>
          <w:p>
            <w:pPr>
              <w:pStyle w:val="TableContents"/>
              <w:bidi w:val="0"/>
              <w:spacing w:before="0" w:after="283"/>
              <w:jc w:val="center"/>
              <w:rPr>
                <w:b/>
              </w:rPr>
            </w:pPr>
            <w:bookmarkStart w:id="6" w:name="xdx_904_edei--EntityFileNumber_c20260922"/>
            <w:bookmarkEnd w:id="6"/>
            <w:r>
              <w:rPr>
                <w:b/>
              </w:rPr>
              <w:t>0-19417</w:t>
            </w:r>
          </w:p>
        </w:tc>
        <w:tc>
          <w:tcPr>
            <w:tcW w:w="3073" w:type="dxa"/>
            <w:tcBorders/>
            <w:vAlign w:val="center"/>
          </w:tcPr>
          <w:p>
            <w:pPr>
              <w:pStyle w:val="TableContents"/>
              <w:bidi w:val="0"/>
              <w:spacing w:before="0" w:after="283"/>
              <w:jc w:val="center"/>
              <w:rPr>
                <w:b/>
              </w:rPr>
            </w:pPr>
            <w:bookmarkStart w:id="7" w:name="xdx_90E_edei--EntityTaxIdentificationNum"/>
            <w:bookmarkEnd w:id="7"/>
            <w:r>
              <w:rPr>
                <w:b/>
              </w:rPr>
              <w:t>04-2746201</w:t>
            </w:r>
          </w:p>
        </w:tc>
      </w:tr>
      <w:tr>
        <w:trPr/>
        <w:tc>
          <w:tcPr>
            <w:tcW w:w="4852" w:type="dxa"/>
            <w:tcBorders/>
            <w:vAlign w:val="center"/>
          </w:tcPr>
          <w:p>
            <w:pPr>
              <w:pStyle w:val="TableContents"/>
              <w:bidi w:val="0"/>
              <w:spacing w:before="0" w:after="283"/>
              <w:jc w:val="center"/>
              <w:rPr/>
            </w:pPr>
            <w:r>
              <w:rPr/>
              <w:t>(State or other jurisdiction of incorporation or organization)</w:t>
            </w:r>
          </w:p>
        </w:tc>
        <w:tc>
          <w:tcPr>
            <w:tcW w:w="2280" w:type="dxa"/>
            <w:tcBorders/>
            <w:vAlign w:val="center"/>
          </w:tcPr>
          <w:p>
            <w:pPr>
              <w:pStyle w:val="TableContents"/>
              <w:bidi w:val="0"/>
              <w:spacing w:before="0" w:after="283"/>
              <w:jc w:val="center"/>
              <w:rPr/>
            </w:pPr>
            <w:r>
              <w:rPr/>
              <w:t>(Commission file number)</w:t>
            </w:r>
          </w:p>
        </w:tc>
        <w:tc>
          <w:tcPr>
            <w:tcW w:w="3073" w:type="dxa"/>
            <w:tcBorders/>
            <w:vAlign w:val="center"/>
          </w:tcPr>
          <w:p>
            <w:pPr>
              <w:pStyle w:val="TableContents"/>
              <w:bidi w:val="0"/>
              <w:spacing w:before="0" w:after="283"/>
              <w:jc w:val="center"/>
              <w:rPr/>
            </w:pPr>
            <w:r>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15 Wayside Road, </w:t>
      </w:r>
      <w:bookmarkStart w:id="9" w:name="xdx_905_edei--EntityAddressAddressLine2_"/>
      <w:bookmarkEnd w:id="9"/>
      <w:r>
        <w:rPr>
          <w:rFonts w:ascii="Times New Roman;Times;Serif" w:hAnsi="Times New Roman;Times;Serif"/>
          <w:b/>
          <w:i w:val="false"/>
          <w:caps w:val="false"/>
          <w:smallCaps w:val="false"/>
          <w:sz w:val="20"/>
        </w:rPr>
        <w:t xml:space="preserve">Suite 400 </w:t>
      </w:r>
    </w:p>
    <w:p>
      <w:pPr>
        <w:pStyle w:val="TextBody"/>
        <w:bidi w:val="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Burlington, </w:t>
      </w:r>
      <w:bookmarkStart w:id="11" w:name="xdx_906_edei--EntityAddressStateOrProvin"/>
      <w:bookmarkEnd w:id="11"/>
      <w:r>
        <w:rPr>
          <w:rFonts w:ascii="Times New Roman;Times;Serif" w:hAnsi="Times New Roman;Times;Serif"/>
          <w:b/>
          <w:i w:val="false"/>
          <w:caps w:val="false"/>
          <w:smallCaps w:val="false"/>
          <w:sz w:val="20"/>
        </w:rPr>
        <w:t xml:space="preserve">Massachusetts </w:t>
      </w:r>
      <w:bookmarkStart w:id="12" w:name="xdx_90E_edei--EntityAddressPostalZipCode"/>
      <w:bookmarkEnd w:id="12"/>
      <w:r>
        <w:rPr>
          <w:rFonts w:ascii="Times New Roman;Times;Serif" w:hAnsi="Times New Roman;Times;Serif"/>
          <w:b/>
          <w:i w:val="false"/>
          <w:caps w:val="false"/>
          <w:smallCaps w:val="false"/>
          <w:sz w:val="20"/>
        </w:rPr>
        <w:t>01803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6_edei--CityAreaCode_c20260922__20"/>
      <w:bookmarkEnd w:id="13"/>
      <w:r>
        <w:rPr>
          <w:rFonts w:ascii="Times New Roman;Times;Serif" w:hAnsi="Times New Roman;Times;Serif"/>
          <w:b/>
          <w:i w:val="false"/>
          <w:caps w:val="false"/>
          <w:smallCaps w:val="false"/>
          <w:sz w:val="20"/>
        </w:rPr>
        <w:t xml:space="preserve">(781) </w:t>
      </w:r>
      <w:bookmarkStart w:id="14" w:name="xdx_903_edei--LocalPhoneNumber_c20260922"/>
      <w:bookmarkEnd w:id="14"/>
      <w:r>
        <w:rPr>
          <w:rFonts w:ascii="Times New Roman;Times;Serif" w:hAnsi="Times New Roman;Times;Serif"/>
          <w:b/>
          <w:i w:val="false"/>
          <w:caps w:val="false"/>
          <w:smallCaps w:val="false"/>
          <w:sz w:val="20"/>
        </w:rPr>
        <w:t>280-4000</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6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6_edei--SolicitingMaterial_c202609"/>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10205" w:type="dxa"/>
        <w:jc w:val="left"/>
        <w:tblInd w:w="0" w:type="dxa"/>
        <w:tblLayout w:type="fixed"/>
        <w:tblCellMar>
          <w:top w:w="0" w:type="dxa"/>
          <w:left w:w="0" w:type="dxa"/>
          <w:bottom w:w="0" w:type="dxa"/>
          <w:right w:w="0" w:type="dxa"/>
        </w:tblCellMar>
      </w:tblPr>
      <w:tblGrid>
        <w:gridCol w:w="4246"/>
        <w:gridCol w:w="1786"/>
        <w:gridCol w:w="4173"/>
      </w:tblGrid>
      <w:tr>
        <w:trPr/>
        <w:tc>
          <w:tcPr>
            <w:tcW w:w="4246" w:type="dxa"/>
            <w:tcBorders/>
            <w:vAlign w:val="center"/>
          </w:tcPr>
          <w:p>
            <w:pPr>
              <w:pStyle w:val="TableContents"/>
              <w:bidi w:val="0"/>
              <w:spacing w:before="0" w:after="283"/>
              <w:jc w:val="center"/>
              <w:rPr/>
            </w:pPr>
            <w:r>
              <w:rPr/>
              <w:t>Title of each class</w:t>
            </w:r>
          </w:p>
        </w:tc>
        <w:tc>
          <w:tcPr>
            <w:tcW w:w="1786" w:type="dxa"/>
            <w:tcBorders/>
            <w:vAlign w:val="center"/>
          </w:tcPr>
          <w:p>
            <w:pPr>
              <w:pStyle w:val="TableContents"/>
              <w:bidi w:val="0"/>
              <w:spacing w:before="0" w:after="283"/>
              <w:jc w:val="center"/>
              <w:rPr/>
            </w:pPr>
            <w:r>
              <w:rPr/>
              <w:t>Trading Symbol(s)</w:t>
            </w:r>
          </w:p>
        </w:tc>
        <w:tc>
          <w:tcPr>
            <w:tcW w:w="4173" w:type="dxa"/>
            <w:tcBorders/>
            <w:vAlign w:val="center"/>
          </w:tcPr>
          <w:p>
            <w:pPr>
              <w:pStyle w:val="TableContents"/>
              <w:bidi w:val="0"/>
              <w:spacing w:before="0" w:after="283"/>
              <w:jc w:val="center"/>
              <w:rPr/>
            </w:pPr>
            <w:r>
              <w:rPr/>
              <w:t>Name of each exchange on which registered</w:t>
            </w:r>
          </w:p>
        </w:tc>
      </w:tr>
      <w:tr>
        <w:trPr/>
        <w:tc>
          <w:tcPr>
            <w:tcW w:w="4246" w:type="dxa"/>
            <w:tcBorders/>
            <w:vAlign w:val="center"/>
          </w:tcPr>
          <w:p>
            <w:pPr>
              <w:pStyle w:val="TableContents"/>
              <w:bidi w:val="0"/>
              <w:spacing w:before="0" w:after="283"/>
              <w:jc w:val="center"/>
              <w:rPr>
                <w:b/>
              </w:rPr>
            </w:pPr>
            <w:bookmarkStart w:id="19" w:name="xdx_905_edei--Security12bTitle_c20260922"/>
            <w:bookmarkEnd w:id="19"/>
            <w:r>
              <w:rPr>
                <w:b/>
              </w:rPr>
              <w:t>Common Stock, $0.01 par value per share</w:t>
            </w:r>
          </w:p>
        </w:tc>
        <w:tc>
          <w:tcPr>
            <w:tcW w:w="1786" w:type="dxa"/>
            <w:tcBorders/>
            <w:vAlign w:val="center"/>
          </w:tcPr>
          <w:p>
            <w:pPr>
              <w:pStyle w:val="TableContents"/>
              <w:bidi w:val="0"/>
              <w:spacing w:before="0" w:after="283"/>
              <w:jc w:val="center"/>
              <w:rPr>
                <w:b/>
              </w:rPr>
            </w:pPr>
            <w:bookmarkStart w:id="20" w:name="xdx_904_edei--TradingSymbol_c20260922__2"/>
            <w:bookmarkEnd w:id="20"/>
            <w:r>
              <w:rPr>
                <w:b/>
              </w:rPr>
              <w:t>PRGS</w:t>
            </w:r>
          </w:p>
        </w:tc>
        <w:tc>
          <w:tcPr>
            <w:tcW w:w="4173" w:type="dxa"/>
            <w:tcBorders/>
            <w:vAlign w:val="center"/>
          </w:tcPr>
          <w:p>
            <w:pPr>
              <w:pStyle w:val="TableContents"/>
              <w:bidi w:val="0"/>
              <w:spacing w:before="0" w:after="283"/>
              <w:jc w:val="center"/>
              <w:rPr>
                <w:b/>
              </w:rPr>
            </w:pPr>
            <w:bookmarkStart w:id="21" w:name="xdx_90B_edei--SecurityExchangeName_c2026"/>
            <w:bookmarkEnd w:id="21"/>
            <w:r>
              <w:rPr>
                <w:b/>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tbl>
      <w:tblPr>
        <w:tblW w:w="6205" w:type="dxa"/>
        <w:jc w:val="left"/>
        <w:tblInd w:w="0" w:type="dxa"/>
        <w:tblLayout w:type="fixed"/>
        <w:tblCellMar>
          <w:top w:w="0" w:type="dxa"/>
          <w:left w:w="0" w:type="dxa"/>
          <w:bottom w:w="0" w:type="dxa"/>
          <w:right w:w="0" w:type="dxa"/>
        </w:tblCellMar>
      </w:tblPr>
      <w:tblGrid>
        <w:gridCol w:w="1040"/>
        <w:gridCol w:w="5165"/>
      </w:tblGrid>
      <w:tr>
        <w:trPr/>
        <w:tc>
          <w:tcPr>
            <w:tcW w:w="1040"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pursuant to the terms of that certain Asset Purchase Agreement dated as of July 22, 2026 (the “Purchase Agreement”), by and between Progress Software Corporation, a Delaware corporation (“Progress”) and Domo, Inc., a Delaware corporation (the “Seller”), Progress completed the previously announced purchase of substantially all of the assets and employees, excluding the Seller’s net operating loss carryforwards, and assumption of certain liabilities of the Seller used in the operation of its business of providing software platforms, applications, tools and related technologies for business intelligence, data visualization, reporting and dashboarding, data integration and analytics, embedded and distributed analytics, workflow and process automation, AI-powered data products and AI agents, and data governance and data management, in each case delivered on a cloud-based, hosted, on premises or hybrid basis to enterprise, commercial and governmental customers. The transactions contemplated by the Purchase Agreement are collectively referred to as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Progress paid an aggregate purchase price of $400 million in cash funded via a combination of cash on hand and an existing revolving credit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3-05 and Article 11 of Regulation S-X, Progress will file financial statements and pro forma financial information related to the Transaction by an amendment to this Current Report on Form 8-K.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and the Transaction do not purport to be complete and are qualified in their entirety by reference to the Purchase Agreement, a copy of which was filed as Exhibit 2.1 of Progress’ Current Report on Form 8-K filed with the Securities and Exchange Commission on July 22, 2026, and is incorporated herein by reference.</w:t>
      </w:r>
    </w:p>
    <w:p>
      <w:pPr>
        <w:pStyle w:val="TextBody"/>
        <w:bidi w:val="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issued a press release with respect to the closing of the Transaction, a copy of which is attached hereto and furnished as Exhibit 99.1.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(the “Exchange Act”), or otherwise subject to the liability of that section, and shall not be incorporated by reference into any other filing by Progress under the Securities Act of 1933, as amended, or the Exchange Act, except as shall be expressly set forth by specific reference in such a filing.</w:t>
      </w:r>
    </w:p>
    <w:p>
      <w:pPr>
        <w:pStyle w:val="TextBody"/>
        <w:bidi w:val="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823"/>
        <w:gridCol w:w="60"/>
        <w:gridCol w:w="9322"/>
      </w:tblGrid>
      <w:tr>
        <w:trPr/>
        <w:tc>
          <w:tcPr>
            <w:tcW w:w="823" w:type="dxa"/>
            <w:tcBorders>
              <w:bottom w:val="single" w:sz="8" w:space="0" w:color="000000"/>
            </w:tcBorders>
            <w:vAlign w:val="center"/>
          </w:tcPr>
          <w:p>
            <w:pPr>
              <w:pStyle w:val="TableContents"/>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bottom w:val="single" w:sz="8" w:space="0" w:color="000000"/>
            </w:tcBorders>
            <w:vAlign w:val="center"/>
          </w:tcPr>
          <w:p>
            <w:pPr>
              <w:pStyle w:val="TableContents"/>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23"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Asset Purchase Agreement, dated as of July 22, 2026, by and between and Progress Software Corporation and Domo, Inc. (incorporated by reference to Exhibit 2.1 to Progress’ Current Report on Form 8-K filed July 22, 2026)*</w:t>
              </w:r>
            </w:hyperlink>
          </w:p>
        </w:tc>
      </w:tr>
      <w:tr>
        <w:trPr/>
        <w:tc>
          <w:tcPr>
            <w:tcW w:w="823"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left"/>
              <w:rPr/>
            </w:pPr>
            <w:hyperlink w:anchor="e26389_ex99-1.htm">
              <w:r>
                <w:rPr>
                  <w:rStyle w:val="InternetLink"/>
                  <w:rFonts w:ascii="Times New Roman;Times;Serif" w:hAnsi="Times New Roman;Times;Serif"/>
                  <w:b w:val="false"/>
                  <w:i w:val="false"/>
                  <w:caps w:val="false"/>
                  <w:smallCaps w:val="false"/>
                  <w:sz w:val="20"/>
                </w:rPr>
                <w:t>Press Release, dated September 22, 2026</w:t>
              </w:r>
            </w:hyperlink>
          </w:p>
        </w:tc>
      </w:tr>
      <w:tr>
        <w:trPr/>
        <w:tc>
          <w:tcPr>
            <w:tcW w:w="823"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schedules to the Purchase Agreement have been omitted from this filing pursuant to Item 601(a)(5) of Regulation S-K. Registrant will furnish copies of such schedules to the Securities and Exchange Commission upon request by the Commission.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185" w:type="dxa"/>
        <w:jc w:val="left"/>
        <w:tblInd w:w="0" w:type="dxa"/>
        <w:tblLayout w:type="fixed"/>
        <w:tblCellMar>
          <w:top w:w="0" w:type="dxa"/>
          <w:left w:w="0" w:type="dxa"/>
          <w:bottom w:w="0" w:type="dxa"/>
          <w:right w:w="0" w:type="dxa"/>
        </w:tblCellMar>
      </w:tblPr>
      <w:tblGrid>
        <w:gridCol w:w="2510"/>
        <w:gridCol w:w="425"/>
        <w:gridCol w:w="4250"/>
      </w:tblGrid>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22, 2026</w:t>
            </w:r>
          </w:p>
        </w:tc>
        <w:tc>
          <w:tcPr>
            <w:tcW w:w="4675" w:type="dxa"/>
            <w:gridSpan w:val="2"/>
            <w:tcBorders/>
            <w:vAlign w:val="center"/>
          </w:tcPr>
          <w:p>
            <w:pPr>
              <w:pStyle w:val="TableContents"/>
              <w:bidi w:val="0"/>
              <w:spacing w:before="0" w:after="283"/>
              <w:jc w:val="left"/>
              <w:rPr/>
            </w:pPr>
            <w:r>
              <w:rPr/>
              <w:t>Progress Software Corporation</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4250" w:type="dxa"/>
            <w:tcBorders>
              <w:bottom w:val="single" w:sz="8" w:space="0" w:color="000000"/>
            </w:tcBorders>
            <w:tcMar>
              <w:bottom w:w="28" w:type="dxa"/>
            </w:tcMar>
            <w:vAlign w:val="center"/>
          </w:tcPr>
          <w:p>
            <w:pPr>
              <w:pStyle w:val="TableContents"/>
              <w:bidi w:val="0"/>
              <w:spacing w:before="0" w:after="283"/>
              <w:jc w:val="left"/>
              <w:rPr/>
            </w:pPr>
            <w:r>
              <w:rPr/>
              <w:t>/s/ YUFAN STEPHANIE WANG</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YuFan Stephanie Wang</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jc w:val="left"/>
        <w:rPr>
          <w:caps w:val="false"/>
          <w:smallCaps w:val="false"/>
        </w:rPr>
      </w:pPr>
      <w:r>
        <w:rPr>
          <w:caps w:val="false"/>
          <w:smallCaps w:val="false"/>
        </w:rPr>
        <w:t> </w:t>
      </w:r>
    </w:p>
    <w:p>
      <w:pPr>
        <w:pStyle w:val="TextBody"/>
        <w:bidi w:val="0"/>
        <w:jc w:val="right"/>
        <w:rPr>
          <w:b/>
        </w:rPr>
      </w:pPr>
      <w:bookmarkStart w:id="23" w:name="e26389_ex99-1.htm"/>
      <w:bookmarkStart w:id="24" w:name="kse26389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60782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607820" cy="381000"/>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Progress Software Completes Acquisition of Domo's AI and Data Platform Business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advances Progress’ strategy to deliver the context and control organizations need to achieve trusted AI and agentic outcomes with confidence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Burlington, Mass., September 22, 2026—</w:t>
      </w:r>
      <w:r>
        <w:rPr>
          <w:rFonts w:ascii="Times New Roman;Times;Serif" w:hAnsi="Times New Roman;Times;Serif"/>
          <w:b w:val="false"/>
          <w:i w:val="false"/>
          <w:caps w:val="false"/>
          <w:smallCaps w:val="false"/>
          <w:sz w:val="20"/>
        </w:rPr>
        <w:t>Progress Software (Nasdaq: PRGS), an AI infrastructure software leader, today announced it has completed its acquisition of substantially all the assets of Domo’s AI and data platform business, as well as assumed certain liabilities.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As organizations pursue AI initiatives, the challenge is no longer simply access to AI technology,” said Yogesh Gupta, CEO of Progress Software. “It is creating the right </w:t>
      </w:r>
      <w:r>
        <w:rPr>
          <w:rFonts w:ascii="Times New Roman;Times;Serif" w:hAnsi="Times New Roman;Times;Serif"/>
          <w:b/>
          <w:i w:val="false"/>
          <w:caps w:val="false"/>
          <w:smallCaps w:val="false"/>
          <w:sz w:val="20"/>
        </w:rPr>
        <w:t>context</w:t>
      </w:r>
      <w:r>
        <w:rPr>
          <w:rFonts w:ascii="Times New Roman;Times;Serif" w:hAnsi="Times New Roman;Times;Serif"/>
          <w:b w:val="false"/>
          <w:i w:val="false"/>
          <w:caps w:val="false"/>
          <w:smallCaps w:val="false"/>
          <w:sz w:val="20"/>
        </w:rPr>
        <w:t xml:space="preserve">, grounded in trusted data and knowledge, and maintaining the right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xml:space="preserve"> through governance, security and oversight. Together, context and control enable organizations to adopt and scale AI with confidence. We are excited to welcome Domo to Progress because it strengthens our ability to help customers build that foundation.”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Domo's cloud-native AI and data platform business will become part of Progress’ existing data platform offerings, further strengthening Progress’ ability to help customers connect, govern and activate enterprise data for secure, scalable AI and agentic initiatives.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Domo adds a customer base of over 2,400 businesses to Progress as well as global strategic partners including leading cloud data warehouse providers.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Gupta, “Domo brings innovative technology, a talented team, a passionate customer base and a shared belief that organizations should be able to unlock the full value of their data. We see exciting opportunities ahead to build on our respective strengths and to continue helping organizations thrive in a world powered by AI.”</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Progress paid $400M for the acquisition, funded with a combination of cash and its existing revolving credit facility. Progress will provide additional information on the financial impact of this acquisition on its upcoming third quarter earnings conference call on Wednesday, September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at 5:00pm 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Progress Software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Software (Nasdaq: PRGS) provides the context and control organizations need to reliably extract value from AI—</w:t>
      </w:r>
      <w:r>
        <w:rPr>
          <w:rFonts w:ascii="Times New Roman;Times;Serif" w:hAnsi="Times New Roman;Times;Serif"/>
          <w:b/>
          <w:i/>
          <w:caps w:val="false"/>
          <w:smallCaps w:val="false"/>
          <w:sz w:val="20"/>
        </w:rPr>
        <w:t>context</w:t>
      </w:r>
      <w:r>
        <w:rPr>
          <w:rFonts w:ascii="Times New Roman;Times;Serif" w:hAnsi="Times New Roman;Times;Serif"/>
          <w:b w:val="false"/>
          <w:i w:val="false"/>
          <w:caps w:val="false"/>
          <w:smallCaps w:val="false"/>
          <w:sz w:val="20"/>
        </w:rPr>
        <w:t xml:space="preserve"> drawn from an organization's data, content and workflows, and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over the security, governance and cost of their AI initiatives. Learn how hundreds of thousands of businesses, powering the work of tens of millions of professionals worldwide, realize value from trusted, enterprise-ready AI at www.progress.com.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drawing>
          <wp:inline distT="0" distB="0" distL="0" distR="0">
            <wp:extent cx="160782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607820" cy="3810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Forward-Looking Statements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Risks, uncertainties and other important factors that could cause actual results to differ from those expressed or implied in the forward-looking statements include: uncertainties as to the effects of disruption from the acquisition of Domo making it more difficult to maintain relationships with employees, licensees, other business partners or governmental entities; other business effects, including the effects of industry, economic or political conditions outside of Progress’ control; transaction costs; actual or contingent liabilities; uncertainties as to whether anticipated synergies or tax benefits will be realized; and uncertainties as to whether Domo’s business will be successfully integrated with Progress’ business. For further information regarding risks and uncertainties associated with Progress’ business, please refer to Progress’ filings with the Securities and Exchange Commission, including its Annual Report on Form 10-K for the fiscal year ended November 30, 2025. Progress undertakes no obligation to update any forward-looking statements, which speak only as of the date of this press release.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Progress is a trademark or registered trademark of Progress Software Corporation and/or its subsidiaries or affiliates in the U.S. and other countries. Any other names contained herein may be trademarks of their respective owners.  </w:t>
      </w:r>
    </w:p>
    <w:p>
      <w:pPr>
        <w:pStyle w:val="TextBody"/>
        <w:bidi w:val="0"/>
        <w:jc w:val="center"/>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660"/>
        <w:gridCol w:w="2705"/>
      </w:tblGrid>
      <w:tr>
        <w:trPr/>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Press Contact:</w:t>
            </w:r>
            <w:r>
              <w:rPr>
                <w:rFonts w:ascii="Times New Roman;Times;Serif" w:hAnsi="Times New Roman;Times;Serif"/>
                <w:b w:val="false"/>
                <w:i w:val="false"/>
                <w:caps w:val="false"/>
                <w:smallCaps w:val="false"/>
                <w:sz w:val="20"/>
              </w:rPr>
              <w:t xml:space="preserve"> </w:t>
              <w:br/>
              <w:t xml:space="preserve">Jeff Young </w:t>
              <w:br/>
              <w:t xml:space="preserve">VP, Corporate Communications </w:t>
              <w:br/>
              <w:t xml:space="preserve">Progress Software </w:t>
              <w:br/>
              <w:t xml:space="preserve">+1 781-280-4000 </w:t>
              <w:br/>
              <w:t>pr@progress.com</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xml:space="preserve"> </w:t>
              <w:br/>
              <w:t xml:space="preserve">Mike Micciche </w:t>
              <w:br/>
              <w:t xml:space="preserve">SVP, Investor Relations </w:t>
              <w:br/>
              <w:t xml:space="preserve">Progress Software </w:t>
              <w:br/>
              <w:t xml:space="preserve">+1 781-280-4000 </w:t>
              <w:br/>
              <w:t>Investor-relations@progress.com</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167/000155278126000390/e26303_ex2-1.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1543</Words>
  <Characters>8924</Characters>
  <CharactersWithSpaces>10465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