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80010</wp:posOffset>
            </wp:positionV>
            <wp:extent cx="17145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2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101600</wp:posOffset>
            </wp:positionV>
            <wp:extent cx="17145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p>
      <w:pPr>
        <w:spacing w:after="0" w:line="27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97" w:lineRule="exact"/>
        <w:rPr>
          <w:sz w:val="24"/>
          <w:szCs w:val="24"/>
          <w:color w:val="auto"/>
        </w:rPr>
      </w:pPr>
    </w:p>
    <w:p>
      <w:pPr>
        <w:jc w:val="right"/>
        <w:spacing w:after="0" w:line="221" w:lineRule="exact"/>
        <w:rPr>
          <w:sz w:val="20"/>
          <w:szCs w:val="20"/>
          <w:color w:val="auto"/>
        </w:rPr>
      </w:pPr>
      <w:r>
        <w:rPr>
          <w:rFonts w:ascii="MS PGothic" w:cs="MS PGothic" w:eastAsia="MS PGothic" w:hAnsi="MS PGothic"/>
          <w:sz w:val="22"/>
          <w:szCs w:val="22"/>
          <w:color w:val="auto"/>
        </w:rPr>
        <w:t>☒</w:t>
      </w: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jc w:val="right"/>
        <w:spacing w:after="0" w:line="221" w:lineRule="exact"/>
        <w:rPr>
          <w:sz w:val="20"/>
          <w:szCs w:val="20"/>
          <w:color w:val="auto"/>
        </w:rPr>
      </w:pPr>
      <w:r>
        <w:rPr>
          <w:rFonts w:ascii="MS PGothic" w:cs="MS PGothic" w:eastAsia="MS PGothic" w:hAnsi="MS PGothic"/>
          <w:sz w:val="22"/>
          <w:szCs w:val="22"/>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65" w:lineRule="exact"/>
        <w:rPr>
          <w:sz w:val="24"/>
          <w:szCs w:val="24"/>
          <w:color w:val="auto"/>
        </w:rPr>
      </w:pPr>
    </w:p>
    <w:p>
      <w:pPr>
        <w:ind w:left="2340"/>
        <w:spacing w:after="0"/>
        <w:rPr>
          <w:sz w:val="20"/>
          <w:szCs w:val="20"/>
          <w:color w:val="auto"/>
        </w:rPr>
      </w:pPr>
      <w:r>
        <w:rPr>
          <w:rFonts w:ascii="Times New Roman" w:cs="Times New Roman" w:eastAsia="Times New Roman" w:hAnsi="Times New Roman"/>
          <w:sz w:val="16"/>
          <w:szCs w:val="16"/>
          <w:color w:val="auto"/>
        </w:rPr>
        <w:t xml:space="preserve">For the quarterly period ended </w:t>
      </w:r>
      <w:r>
        <w:rPr>
          <w:rFonts w:ascii="Times New Roman" w:cs="Times New Roman" w:eastAsia="Times New Roman" w:hAnsi="Times New Roman"/>
          <w:sz w:val="17"/>
          <w:szCs w:val="17"/>
          <w:color w:val="auto"/>
        </w:rPr>
        <w:t>February 28, 2026</w:t>
      </w:r>
    </w:p>
    <w:p>
      <w:pPr>
        <w:spacing w:after="0" w:line="39" w:lineRule="exact"/>
        <w:rPr>
          <w:sz w:val="24"/>
          <w:szCs w:val="24"/>
          <w:color w:val="auto"/>
        </w:rPr>
      </w:pPr>
    </w:p>
    <w:p>
      <w:pPr>
        <w:jc w:val="center"/>
        <w:ind w:right="1620"/>
        <w:spacing w:after="0"/>
        <w:rPr>
          <w:sz w:val="20"/>
          <w:szCs w:val="20"/>
          <w:color w:val="auto"/>
        </w:rPr>
      </w:pPr>
      <w:r>
        <w:rPr>
          <w:rFonts w:ascii="Times New Roman" w:cs="Times New Roman" w:eastAsia="Times New Roman" w:hAnsi="Times New Roman"/>
          <w:sz w:val="16"/>
          <w:szCs w:val="16"/>
          <w:color w:val="auto"/>
        </w:rPr>
        <w:t>or</w:t>
      </w:r>
    </w:p>
    <w:p>
      <w:pPr>
        <w:spacing w:after="0" w:line="124"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50"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6"/>
          <w:szCs w:val="16"/>
          <w:color w:val="auto"/>
        </w:rPr>
        <w:t>For the transition period from _____to _____.</w:t>
      </w:r>
    </w:p>
    <w:p>
      <w:pPr>
        <w:spacing w:after="0" w:line="26"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6"/>
          <w:szCs w:val="16"/>
          <w:color w:val="auto"/>
        </w:rPr>
        <w:t xml:space="preserve">Commission File Number: </w:t>
      </w:r>
      <w:r>
        <w:rPr>
          <w:rFonts w:ascii="Times New Roman" w:cs="Times New Roman" w:eastAsia="Times New Roman" w:hAnsi="Times New Roman"/>
          <w:sz w:val="16"/>
          <w:szCs w:val="16"/>
          <w:b w:val="1"/>
          <w:bCs w:val="1"/>
          <w:color w:val="auto"/>
        </w:rPr>
        <w:t>0-19417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1685290</wp:posOffset>
            </wp:positionH>
            <wp:positionV relativeFrom="paragraph">
              <wp:posOffset>84455</wp:posOffset>
            </wp:positionV>
            <wp:extent cx="1714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1220" w:space="400"/>
            <w:col w:w="9620"/>
          </w:cols>
          <w:pgMar w:left="320" w:top="867" w:right="339" w:bottom="1440" w:gutter="0" w:footer="0" w:header="0"/>
          <w:type w:val="continuous"/>
        </w:sectPr>
      </w:pP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PROGRESS SOFTWARE CORPORATION</w:t>
      </w:r>
    </w:p>
    <w:p>
      <w:pPr>
        <w:spacing w:after="0" w:line="7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100965</wp:posOffset>
            </wp:positionV>
            <wp:extent cx="1714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98" w:lineRule="exact"/>
        <w:rPr>
          <w:sz w:val="24"/>
          <w:szCs w:val="24"/>
          <w:color w:val="auto"/>
        </w:rPr>
      </w:pPr>
    </w:p>
    <w:tbl>
      <w:tblPr>
        <w:tblLayout w:type="fixed"/>
        <w:tblInd w:w="560" w:type="dxa"/>
        <w:tblCellMar>
          <w:top w:w="0" w:type="dxa"/>
          <w:left w:w="0" w:type="dxa"/>
          <w:bottom w:w="0" w:type="dxa"/>
          <w:right w:w="0" w:type="dxa"/>
        </w:tblCellMar>
      </w:tblPr>
      <w:tr>
        <w:trPr>
          <w:trHeight w:val="209"/>
        </w:trPr>
        <w:tc>
          <w:tcPr>
            <w:tcW w:w="5120" w:type="dxa"/>
            <w:vAlign w:val="bottom"/>
          </w:tcPr>
          <w:p>
            <w:pPr>
              <w:jc w:val="center"/>
              <w:ind w:right="1224"/>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380" w:type="dxa"/>
            <w:vAlign w:val="bottom"/>
          </w:tcPr>
          <w:p>
            <w:pPr>
              <w:jc w:val="right"/>
              <w:ind w:right="584"/>
              <w:spacing w:after="0"/>
              <w:rPr>
                <w:sz w:val="20"/>
                <w:szCs w:val="20"/>
                <w:color w:val="auto"/>
              </w:rPr>
            </w:pPr>
            <w:r>
              <w:rPr>
                <w:rFonts w:ascii="Times New Roman" w:cs="Times New Roman" w:eastAsia="Times New Roman" w:hAnsi="Times New Roman"/>
                <w:sz w:val="16"/>
                <w:szCs w:val="16"/>
                <w:b w:val="1"/>
                <w:bCs w:val="1"/>
                <w:color w:val="auto"/>
              </w:rPr>
              <w:t>04-2746201</w:t>
            </w:r>
          </w:p>
        </w:tc>
      </w:tr>
      <w:tr>
        <w:trPr>
          <w:trHeight w:val="188"/>
        </w:trPr>
        <w:tc>
          <w:tcPr>
            <w:tcW w:w="5120" w:type="dxa"/>
            <w:vAlign w:val="bottom"/>
          </w:tcPr>
          <w:p>
            <w:pPr>
              <w:jc w:val="center"/>
              <w:ind w:right="1204"/>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380" w:type="dxa"/>
            <w:vAlign w:val="bottom"/>
          </w:tcPr>
          <w:p>
            <w:pPr>
              <w:jc w:val="center"/>
              <w:ind w:left="1204"/>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595"/>
        </w:trPr>
        <w:tc>
          <w:tcPr>
            <w:tcW w:w="5120" w:type="dxa"/>
            <w:vAlign w:val="bottom"/>
          </w:tcPr>
          <w:p>
            <w:pPr>
              <w:jc w:val="center"/>
              <w:ind w:right="1224"/>
              <w:spacing w:after="0"/>
              <w:rPr>
                <w:sz w:val="20"/>
                <w:szCs w:val="20"/>
                <w:color w:val="auto"/>
              </w:rPr>
            </w:pPr>
            <w:r>
              <w:rPr>
                <w:rFonts w:ascii="Times New Roman" w:cs="Times New Roman" w:eastAsia="Times New Roman" w:hAnsi="Times New Roman"/>
                <w:sz w:val="16"/>
                <w:szCs w:val="16"/>
                <w:b w:val="1"/>
                <w:bCs w:val="1"/>
                <w:color w:val="auto"/>
              </w:rPr>
              <w:t>15 Wayside Road, Suite 400, Burlington, Massachusetts</w:t>
            </w:r>
          </w:p>
        </w:tc>
        <w:tc>
          <w:tcPr>
            <w:tcW w:w="3380" w:type="dxa"/>
            <w:vAlign w:val="bottom"/>
          </w:tcPr>
          <w:p>
            <w:pPr>
              <w:jc w:val="right"/>
              <w:ind w:right="784"/>
              <w:spacing w:after="0"/>
              <w:rPr>
                <w:sz w:val="20"/>
                <w:szCs w:val="20"/>
                <w:color w:val="auto"/>
              </w:rPr>
            </w:pPr>
            <w:r>
              <w:rPr>
                <w:rFonts w:ascii="Times New Roman" w:cs="Times New Roman" w:eastAsia="Times New Roman" w:hAnsi="Times New Roman"/>
                <w:sz w:val="16"/>
                <w:szCs w:val="16"/>
                <w:b w:val="1"/>
                <w:bCs w:val="1"/>
                <w:color w:val="auto"/>
              </w:rPr>
              <w:t>01803</w:t>
            </w:r>
          </w:p>
        </w:tc>
      </w:tr>
      <w:tr>
        <w:trPr>
          <w:trHeight w:val="188"/>
        </w:trPr>
        <w:tc>
          <w:tcPr>
            <w:tcW w:w="5120" w:type="dxa"/>
            <w:vAlign w:val="bottom"/>
          </w:tcPr>
          <w:p>
            <w:pPr>
              <w:jc w:val="center"/>
              <w:ind w:right="1204"/>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380" w:type="dxa"/>
            <w:vAlign w:val="bottom"/>
          </w:tcPr>
          <w:p>
            <w:pPr>
              <w:jc w:val="center"/>
              <w:ind w:left="1184"/>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3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Registrant</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 xml:space="preserve">s telephone number, including area code: </w:t>
      </w:r>
      <w:r>
        <w:rPr>
          <w:rFonts w:ascii="Times New Roman" w:cs="Times New Roman" w:eastAsia="Times New Roman" w:hAnsi="Times New Roman"/>
          <w:sz w:val="16"/>
          <w:szCs w:val="16"/>
          <w:b w:val="1"/>
          <w:bCs w:val="1"/>
          <w:color w:val="auto"/>
        </w:rPr>
        <w:t>(781) 280-4000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93345</wp:posOffset>
            </wp:positionV>
            <wp:extent cx="1714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(Former name or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90805</wp:posOffset>
            </wp:positionV>
            <wp:extent cx="17145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5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40" w:lineRule="exact"/>
        <w:rPr>
          <w:sz w:val="24"/>
          <w:szCs w:val="24"/>
          <w:color w:val="auto"/>
        </w:rPr>
      </w:pPr>
    </w:p>
    <w:p>
      <w:pPr>
        <w:ind w:left="1700"/>
        <w:spacing w:after="0"/>
        <w:tabs>
          <w:tab w:leader="none" w:pos="4980" w:val="left"/>
          <w:tab w:leader="none" w:pos="7500" w:val="left"/>
        </w:tabs>
        <w:rPr>
          <w:sz w:val="20"/>
          <w:szCs w:val="20"/>
          <w:color w:val="auto"/>
        </w:rPr>
      </w:pPr>
      <w:r>
        <w:rPr>
          <w:rFonts w:ascii="Times New Roman" w:cs="Times New Roman" w:eastAsia="Times New Roman" w:hAnsi="Times New Roman"/>
          <w:sz w:val="16"/>
          <w:szCs w:val="16"/>
          <w:color w:val="auto"/>
        </w:rPr>
        <w:t>Title of each class</w:t>
      </w:r>
      <w:r>
        <w:rPr>
          <w:sz w:val="20"/>
          <w:szCs w:val="20"/>
          <w:color w:val="auto"/>
        </w:rPr>
        <w:tab/>
      </w:r>
      <w:r>
        <w:rPr>
          <w:rFonts w:ascii="Times New Roman" w:cs="Times New Roman" w:eastAsia="Times New Roman" w:hAnsi="Times New Roman"/>
          <w:sz w:val="16"/>
          <w:szCs w:val="16"/>
          <w:color w:val="auto"/>
        </w:rPr>
        <w:t>Trading Symbol(s)</w:t>
      </w:r>
      <w:r>
        <w:rPr>
          <w:sz w:val="20"/>
          <w:szCs w:val="20"/>
          <w:color w:val="auto"/>
        </w:rPr>
        <w:tab/>
      </w:r>
      <w:r>
        <w:rPr>
          <w:rFonts w:ascii="Times New Roman" w:cs="Times New Roman" w:eastAsia="Times New Roman" w:hAnsi="Times New Roman"/>
          <w:sz w:val="16"/>
          <w:szCs w:val="16"/>
          <w:color w:val="auto"/>
        </w:rPr>
        <w:t>Name of each exchange on which registered</w:t>
      </w:r>
    </w:p>
    <w:p>
      <w:pPr>
        <w:spacing w:after="0" w:line="30" w:lineRule="exact"/>
        <w:rPr>
          <w:sz w:val="24"/>
          <w:szCs w:val="24"/>
          <w:color w:val="auto"/>
        </w:rPr>
      </w:pPr>
    </w:p>
    <w:p>
      <w:pPr>
        <w:ind w:left="840"/>
        <w:spacing w:after="0"/>
        <w:tabs>
          <w:tab w:leader="none" w:pos="5380" w:val="left"/>
          <w:tab w:leader="none" w:pos="7840" w:val="left"/>
        </w:tabs>
        <w:rPr>
          <w:sz w:val="20"/>
          <w:szCs w:val="20"/>
          <w:color w:val="auto"/>
        </w:rPr>
      </w:pPr>
      <w:r>
        <w:rPr>
          <w:rFonts w:ascii="Times New Roman" w:cs="Times New Roman" w:eastAsia="Times New Roman" w:hAnsi="Times New Roman"/>
          <w:sz w:val="16"/>
          <w:szCs w:val="16"/>
          <w:b w:val="1"/>
          <w:bCs w:val="1"/>
          <w:color w:val="auto"/>
        </w:rPr>
        <w:t>Common Stock, $0.01 par value per share</w:t>
      </w:r>
      <w:r>
        <w:rPr>
          <w:sz w:val="20"/>
          <w:szCs w:val="20"/>
          <w:color w:val="auto"/>
        </w:rPr>
        <w:tab/>
      </w:r>
      <w:r>
        <w:rPr>
          <w:rFonts w:ascii="Times New Roman" w:cs="Times New Roman" w:eastAsia="Times New Roman" w:hAnsi="Times New Roman"/>
          <w:sz w:val="16"/>
          <w:szCs w:val="16"/>
          <w:b w:val="1"/>
          <w:bCs w:val="1"/>
          <w:color w:val="auto"/>
        </w:rPr>
        <w:t>PRGS</w:t>
      </w:r>
      <w:r>
        <w:rPr>
          <w:sz w:val="20"/>
          <w:szCs w:val="20"/>
          <w:color w:val="auto"/>
        </w:rPr>
        <w:tab/>
      </w:r>
      <w:r>
        <w:rPr>
          <w:rFonts w:ascii="Times New Roman" w:cs="Times New Roman" w:eastAsia="Times New Roman" w:hAnsi="Times New Roman"/>
          <w:sz w:val="16"/>
          <w:szCs w:val="16"/>
          <w:b w:val="1"/>
          <w:bCs w:val="1"/>
          <w:color w:val="auto"/>
        </w:rPr>
        <w:t>The Nasdaq Stock Market LLC</w:t>
      </w:r>
    </w:p>
    <w:p>
      <w:pPr>
        <w:spacing w:after="0" w:line="102" w:lineRule="exact"/>
        <w:rPr>
          <w:sz w:val="24"/>
          <w:szCs w:val="24"/>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84" w:lineRule="exact"/>
        <w:tabs>
          <w:tab w:leader="none" w:pos="480" w:val="left"/>
          <w:tab w:leader="none" w:pos="1100" w:val="left"/>
        </w:tabs>
        <w:rPr>
          <w:sz w:val="20"/>
          <w:szCs w:val="20"/>
          <w:color w:val="auto"/>
        </w:rPr>
      </w:pPr>
      <w:r>
        <w:rPr>
          <w:rFonts w:ascii="Times New Roman" w:cs="Times New Roman" w:eastAsia="Times New Roman" w:hAnsi="Times New Roman"/>
          <w:sz w:val="16"/>
          <w:szCs w:val="16"/>
          <w:color w:val="auto"/>
        </w:rPr>
        <w:t>days.</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55" w:lineRule="exact"/>
        <w:rPr>
          <w:sz w:val="24"/>
          <w:szCs w:val="24"/>
          <w:color w:val="auto"/>
        </w:rPr>
      </w:pPr>
    </w:p>
    <w:p>
      <w:pPr>
        <w:ind w:right="4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15" w:lineRule="exact"/>
        <w:rPr>
          <w:sz w:val="24"/>
          <w:szCs w:val="24"/>
          <w:color w:val="auto"/>
        </w:rPr>
      </w:pPr>
    </w:p>
    <w:p>
      <w:pPr>
        <w:jc w:val="both"/>
        <w:ind w:right="18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8"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200" w:type="dxa"/>
            <w:vAlign w:val="bottom"/>
          </w:tcPr>
          <w:p>
            <w:pPr>
              <w:ind w:left="580"/>
              <w:spacing w:after="0" w:line="161" w:lineRule="exact"/>
              <w:rPr>
                <w:sz w:val="20"/>
                <w:szCs w:val="20"/>
                <w:color w:val="auto"/>
              </w:rPr>
            </w:pPr>
            <w:r>
              <w:rPr>
                <w:rFonts w:ascii="MS PGothic" w:cs="MS PGothic" w:eastAsia="MS PGothic" w:hAnsi="MS PGothic"/>
                <w:sz w:val="16"/>
                <w:szCs w:val="16"/>
                <w:color w:val="auto"/>
              </w:rPr>
              <w:t>☒</w:t>
            </w:r>
          </w:p>
        </w:tc>
        <w:tc>
          <w:tcPr>
            <w:tcW w:w="4620" w:type="dxa"/>
            <w:vAlign w:val="bottom"/>
          </w:tcPr>
          <w:p>
            <w:pPr>
              <w:ind w:left="2460"/>
              <w:spacing w:after="0"/>
              <w:rPr>
                <w:sz w:val="20"/>
                <w:szCs w:val="20"/>
                <w:color w:val="auto"/>
              </w:rPr>
            </w:pPr>
            <w:r>
              <w:rPr>
                <w:rFonts w:ascii="Times New Roman" w:cs="Times New Roman" w:eastAsia="Times New Roman" w:hAnsi="Times New Roman"/>
                <w:sz w:val="16"/>
                <w:szCs w:val="16"/>
                <w:color w:val="auto"/>
              </w:rPr>
              <w:t>Accelerated filer</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0"/>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200" w:type="dxa"/>
            <w:vAlign w:val="bottom"/>
          </w:tcPr>
          <w:p>
            <w:pPr>
              <w:ind w:left="580"/>
              <w:spacing w:after="0" w:line="161" w:lineRule="exact"/>
              <w:rPr>
                <w:sz w:val="20"/>
                <w:szCs w:val="20"/>
                <w:color w:val="auto"/>
              </w:rPr>
            </w:pPr>
            <w:r>
              <w:rPr>
                <w:rFonts w:ascii="MS PGothic" w:cs="MS PGothic" w:eastAsia="MS PGothic" w:hAnsi="MS PGothic"/>
                <w:sz w:val="16"/>
                <w:szCs w:val="16"/>
                <w:color w:val="auto"/>
              </w:rPr>
              <w:t>☐</w:t>
            </w:r>
          </w:p>
        </w:tc>
        <w:tc>
          <w:tcPr>
            <w:tcW w:w="4620" w:type="dxa"/>
            <w:vAlign w:val="bottom"/>
          </w:tcPr>
          <w:p>
            <w:pPr>
              <w:ind w:left="24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0"/>
        </w:trPr>
        <w:tc>
          <w:tcPr>
            <w:tcW w:w="20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620" w:type="dxa"/>
            <w:vAlign w:val="bottom"/>
          </w:tcPr>
          <w:p>
            <w:pPr>
              <w:ind w:left="2460"/>
              <w:spacing w:after="0"/>
              <w:rPr>
                <w:sz w:val="20"/>
                <w:szCs w:val="20"/>
                <w:color w:val="auto"/>
              </w:rPr>
            </w:pPr>
            <w:r>
              <w:rPr>
                <w:rFonts w:ascii="Times New Roman" w:cs="Times New Roman" w:eastAsia="Times New Roman" w:hAnsi="Times New Roman"/>
                <w:sz w:val="16"/>
                <w:szCs w:val="16"/>
                <w:color w:val="auto"/>
              </w:rPr>
              <w:t>Emerging growth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304" w:lineRule="exact"/>
        <w:rPr>
          <w:sz w:val="24"/>
          <w:szCs w:val="24"/>
          <w:color w:val="auto"/>
        </w:rPr>
      </w:pPr>
    </w:p>
    <w:p>
      <w:pPr>
        <w:ind w:right="580"/>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0" w:lineRule="exact"/>
        <w:rPr>
          <w:sz w:val="24"/>
          <w:szCs w:val="24"/>
          <w:color w:val="auto"/>
        </w:rPr>
      </w:pPr>
    </w:p>
    <w:p>
      <w:pPr>
        <w:ind w:right="2780"/>
        <w:spacing w:after="0" w:line="31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March 26, 2026, there were 42,078,610 shares of the registrant</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s common stock, $.01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PROGRESS SOFTWARE CORPORATION</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FEBRUARY 28, 2026</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4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b w:val="1"/>
                <w:bCs w:val="1"/>
                <w:color w:val="0000FF"/>
                <w:w w:val="98"/>
              </w:rPr>
              <w:t>FINANCIAL INFORMATION</w:t>
            </w:r>
          </w:p>
        </w:tc>
        <w:tc>
          <w:tcPr>
            <w:tcW w:w="6440" w:type="dxa"/>
            <w:vAlign w:val="bottom"/>
            <w:gridSpan w:val="8"/>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479"/>
        </w:trPr>
        <w:tc>
          <w:tcPr>
            <w:tcW w:w="1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Item 1.</w:t>
            </w:r>
          </w:p>
        </w:tc>
        <w:tc>
          <w:tcPr>
            <w:tcW w:w="88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118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12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9"/>
        </w:trPr>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40" w:type="dxa"/>
            <w:vAlign w:val="bottom"/>
            <w:gridSpan w:val="16"/>
          </w:tcPr>
          <w:p>
            <w:pPr>
              <w:ind w:left="20"/>
              <w:spacing w:after="0"/>
              <w:rPr>
                <w:sz w:val="20"/>
                <w:szCs w:val="20"/>
                <w:color w:val="auto"/>
              </w:rPr>
            </w:pPr>
            <w:r>
              <w:rPr>
                <w:rFonts w:ascii="Times New Roman" w:cs="Times New Roman" w:eastAsia="Times New Roman" w:hAnsi="Times New Roman"/>
                <w:sz w:val="18"/>
                <w:szCs w:val="18"/>
                <w:color w:val="0000FF"/>
              </w:rPr>
              <w:t>Condensed Consolidated Balance Sheets as of February 28, 2026 and November 30, 2025</w:t>
            </w:r>
          </w:p>
        </w:tc>
        <w:tc>
          <w:tcPr>
            <w:tcW w:w="118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9"/>
        </w:trPr>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72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for the three months ended February 28, 2026 and 2025</w:t>
            </w:r>
          </w:p>
        </w:tc>
        <w:tc>
          <w:tcPr>
            <w:tcW w:w="920" w:type="dxa"/>
            <w:vAlign w:val="bottom"/>
            <w:gridSpan w:val="2"/>
          </w:tcPr>
          <w:p>
            <w:pPr>
              <w:spacing w:after="0"/>
              <w:rPr>
                <w:sz w:val="18"/>
                <w:szCs w:val="18"/>
                <w:color w:val="auto"/>
              </w:rPr>
            </w:pPr>
          </w:p>
        </w:tc>
        <w:tc>
          <w:tcPr>
            <w:tcW w:w="118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10"/>
        </w:trPr>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40" w:type="dxa"/>
            <w:vAlign w:val="bottom"/>
            <w:gridSpan w:val="16"/>
          </w:tcPr>
          <w:p>
            <w:pPr>
              <w:ind w:left="20"/>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 for the three months ended February 28, 2026 and 2025</w:t>
            </w:r>
          </w:p>
        </w:tc>
        <w:tc>
          <w:tcPr>
            <w:tcW w:w="118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10"/>
        </w:trPr>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40" w:type="dxa"/>
            <w:vAlign w:val="bottom"/>
            <w:gridSpan w:val="16"/>
          </w:tcPr>
          <w:p>
            <w:pPr>
              <w:ind w:left="20"/>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months ended February 28, 2026 and 2025</w:t>
            </w:r>
          </w:p>
        </w:tc>
        <w:tc>
          <w:tcPr>
            <w:tcW w:w="118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0000FF"/>
              </w:rPr>
              <w:t>6</w:t>
            </w:r>
          </w:p>
        </w:tc>
      </w:tr>
      <w:tr>
        <w:trPr>
          <w:trHeight w:val="20"/>
        </w:trPr>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9"/>
        </w:trPr>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72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0000FF"/>
                <w:w w:val="98"/>
              </w:rPr>
              <w:t>Condensed Consolidated Statements of Cash Flows for the three months ended February 28, 2026 and 2025</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0000FF"/>
              </w:rPr>
              <w:t>7</w:t>
            </w:r>
          </w:p>
        </w:tc>
      </w:tr>
      <w:tr>
        <w:trPr>
          <w:trHeight w:val="20"/>
        </w:trPr>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10"/>
        </w:trPr>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72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920" w:type="dxa"/>
            <w:vAlign w:val="bottom"/>
            <w:gridSpan w:val="2"/>
          </w:tcPr>
          <w:p>
            <w:pPr>
              <w:spacing w:after="0"/>
              <w:rPr>
                <w:sz w:val="18"/>
                <w:szCs w:val="18"/>
                <w:color w:val="auto"/>
              </w:rPr>
            </w:pPr>
          </w:p>
        </w:tc>
        <w:tc>
          <w:tcPr>
            <w:tcW w:w="118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0000FF"/>
              </w:rPr>
              <w:t>9</w:t>
            </w:r>
          </w:p>
        </w:tc>
      </w:tr>
      <w:tr>
        <w:trPr>
          <w:trHeight w:val="20"/>
        </w:trPr>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9"/>
        </w:trPr>
        <w:tc>
          <w:tcPr>
            <w:tcW w:w="1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Item 2.</w:t>
            </w:r>
          </w:p>
        </w:tc>
        <w:tc>
          <w:tcPr>
            <w:tcW w:w="88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18</w:t>
            </w:r>
          </w:p>
        </w:tc>
        <w:tc>
          <w:tcPr>
            <w:tcW w:w="320" w:type="dxa"/>
            <w:vAlign w:val="bottom"/>
          </w:tcPr>
          <w:p>
            <w:pPr>
              <w:spacing w:after="0"/>
              <w:rPr>
                <w:sz w:val="18"/>
                <w:szCs w:val="18"/>
                <w:color w:val="auto"/>
              </w:rPr>
            </w:pPr>
          </w:p>
        </w:tc>
      </w:tr>
      <w:tr>
        <w:trPr>
          <w:trHeight w:val="210"/>
        </w:trPr>
        <w:tc>
          <w:tcPr>
            <w:tcW w:w="1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Item 3.</w:t>
            </w:r>
          </w:p>
        </w:tc>
        <w:tc>
          <w:tcPr>
            <w:tcW w:w="644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400" w:type="dxa"/>
            <w:vAlign w:val="bottom"/>
            <w:gridSpan w:val="4"/>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26</w:t>
            </w:r>
          </w:p>
        </w:tc>
        <w:tc>
          <w:tcPr>
            <w:tcW w:w="320" w:type="dxa"/>
            <w:vAlign w:val="bottom"/>
          </w:tcPr>
          <w:p>
            <w:pPr>
              <w:spacing w:after="0"/>
              <w:rPr>
                <w:sz w:val="18"/>
                <w:szCs w:val="18"/>
                <w:color w:val="auto"/>
              </w:rPr>
            </w:pPr>
          </w:p>
        </w:tc>
      </w:tr>
      <w:tr>
        <w:trPr>
          <w:trHeight w:val="210"/>
        </w:trPr>
        <w:tc>
          <w:tcPr>
            <w:tcW w:w="1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580" w:type="dxa"/>
            <w:vAlign w:val="bottom"/>
            <w:tcBorders>
              <w:top w:val="single" w:sz="8" w:color="0000FF"/>
            </w:tcBorders>
            <w:gridSpan w:val="5"/>
          </w:tcPr>
          <w:p>
            <w:pPr>
              <w:spacing w:after="0"/>
              <w:rPr>
                <w:sz w:val="18"/>
                <w:szCs w:val="18"/>
                <w:color w:val="auto"/>
              </w:rPr>
            </w:pPr>
          </w:p>
        </w:tc>
        <w:tc>
          <w:tcPr>
            <w:tcW w:w="4480" w:type="dxa"/>
            <w:vAlign w:val="bottom"/>
            <w:gridSpan w:val="5"/>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26</w:t>
            </w:r>
          </w:p>
        </w:tc>
        <w:tc>
          <w:tcPr>
            <w:tcW w:w="320" w:type="dxa"/>
            <w:vAlign w:val="bottom"/>
          </w:tcPr>
          <w:p>
            <w:pPr>
              <w:spacing w:after="0"/>
              <w:rPr>
                <w:sz w:val="18"/>
                <w:szCs w:val="18"/>
                <w:color w:val="auto"/>
              </w:rPr>
            </w:pPr>
          </w:p>
        </w:tc>
      </w:tr>
      <w:tr>
        <w:trPr>
          <w:trHeight w:val="479"/>
        </w:trPr>
        <w:tc>
          <w:tcPr>
            <w:tcW w:w="12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884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79"/>
        </w:trPr>
        <w:tc>
          <w:tcPr>
            <w:tcW w:w="1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Item 1.</w:t>
            </w:r>
          </w:p>
        </w:tc>
        <w:tc>
          <w:tcPr>
            <w:tcW w:w="202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820" w:type="dxa"/>
            <w:vAlign w:val="bottom"/>
            <w:gridSpan w:val="9"/>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320" w:type="dxa"/>
            <w:vAlign w:val="bottom"/>
          </w:tcPr>
          <w:p>
            <w:pPr>
              <w:spacing w:after="0"/>
              <w:rPr>
                <w:sz w:val="24"/>
                <w:szCs w:val="24"/>
                <w:color w:val="auto"/>
              </w:rPr>
            </w:pPr>
          </w:p>
        </w:tc>
      </w:tr>
      <w:tr>
        <w:trPr>
          <w:trHeight w:val="210"/>
        </w:trPr>
        <w:tc>
          <w:tcPr>
            <w:tcW w:w="1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420" w:type="dxa"/>
            <w:vAlign w:val="bottom"/>
            <w:tcBorders>
              <w:top w:val="single" w:sz="8" w:color="0000FF"/>
            </w:tcBorders>
            <w:gridSpan w:val="2"/>
          </w:tcPr>
          <w:p>
            <w:pPr>
              <w:spacing w:after="0"/>
              <w:rPr>
                <w:sz w:val="18"/>
                <w:szCs w:val="18"/>
                <w:color w:val="auto"/>
              </w:rPr>
            </w:pPr>
          </w:p>
        </w:tc>
        <w:tc>
          <w:tcPr>
            <w:tcW w:w="7500" w:type="dxa"/>
            <w:vAlign w:val="bottom"/>
            <w:gridSpan w:val="11"/>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27</w:t>
            </w:r>
          </w:p>
        </w:tc>
        <w:tc>
          <w:tcPr>
            <w:tcW w:w="320" w:type="dxa"/>
            <w:vAlign w:val="bottom"/>
          </w:tcPr>
          <w:p>
            <w:pPr>
              <w:spacing w:after="0"/>
              <w:rPr>
                <w:sz w:val="18"/>
                <w:szCs w:val="18"/>
                <w:color w:val="auto"/>
              </w:rPr>
            </w:pPr>
          </w:p>
        </w:tc>
      </w:tr>
      <w:tr>
        <w:trPr>
          <w:trHeight w:val="209"/>
        </w:trPr>
        <w:tc>
          <w:tcPr>
            <w:tcW w:w="1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480" w:type="dxa"/>
            <w:vAlign w:val="bottom"/>
            <w:gridSpan w:val="5"/>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27</w:t>
            </w:r>
          </w:p>
        </w:tc>
        <w:tc>
          <w:tcPr>
            <w:tcW w:w="320" w:type="dxa"/>
            <w:vAlign w:val="bottom"/>
          </w:tcPr>
          <w:p>
            <w:pPr>
              <w:spacing w:after="0"/>
              <w:rPr>
                <w:sz w:val="18"/>
                <w:szCs w:val="18"/>
                <w:color w:val="auto"/>
              </w:rPr>
            </w:pPr>
          </w:p>
        </w:tc>
      </w:tr>
      <w:tr>
        <w:trPr>
          <w:trHeight w:val="210"/>
        </w:trPr>
        <w:tc>
          <w:tcPr>
            <w:tcW w:w="1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Item 5.</w:t>
            </w:r>
          </w:p>
        </w:tc>
        <w:tc>
          <w:tcPr>
            <w:tcW w:w="88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320" w:type="dxa"/>
            <w:vAlign w:val="bottom"/>
          </w:tcPr>
          <w:p>
            <w:pPr>
              <w:spacing w:after="0"/>
              <w:rPr>
                <w:sz w:val="18"/>
                <w:szCs w:val="18"/>
                <w:color w:val="auto"/>
              </w:rPr>
            </w:pPr>
          </w:p>
        </w:tc>
      </w:tr>
      <w:tr>
        <w:trPr>
          <w:trHeight w:val="210"/>
        </w:trPr>
        <w:tc>
          <w:tcPr>
            <w:tcW w:w="1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Exhibits</w:t>
            </w:r>
          </w:p>
        </w:tc>
        <w:tc>
          <w:tcPr>
            <w:tcW w:w="7520" w:type="dxa"/>
            <w:vAlign w:val="bottom"/>
            <w:gridSpan w:val="12"/>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29</w:t>
            </w:r>
          </w:p>
        </w:tc>
        <w:tc>
          <w:tcPr>
            <w:tcW w:w="320" w:type="dxa"/>
            <w:vAlign w:val="bottom"/>
          </w:tcPr>
          <w:p>
            <w:pPr>
              <w:spacing w:after="0"/>
              <w:rPr>
                <w:sz w:val="18"/>
                <w:szCs w:val="18"/>
                <w:color w:val="auto"/>
              </w:rPr>
            </w:pPr>
          </w:p>
        </w:tc>
      </w:tr>
      <w:tr>
        <w:trPr>
          <w:trHeight w:val="20"/>
        </w:trPr>
        <w:tc>
          <w:tcPr>
            <w:tcW w:w="12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80" w:type="dxa"/>
            <w:vAlign w:val="bottom"/>
            <w:gridSpan w:val="1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80"/>
        </w:trPr>
        <w:tc>
          <w:tcPr>
            <w:tcW w:w="1220" w:type="dxa"/>
            <w:vAlign w:val="bottom"/>
          </w:tcPr>
          <w:p>
            <w:pPr>
              <w:spacing w:after="0"/>
              <w:rPr>
                <w:sz w:val="24"/>
                <w:szCs w:val="24"/>
                <w:color w:val="auto"/>
              </w:rPr>
            </w:pPr>
          </w:p>
        </w:tc>
        <w:tc>
          <w:tcPr>
            <w:tcW w:w="88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320" w:type="dxa"/>
            <w:vAlign w:val="bottom"/>
          </w:tcPr>
          <w:p>
            <w:pPr>
              <w:spacing w:after="0"/>
              <w:rPr>
                <w:sz w:val="24"/>
                <w:szCs w:val="24"/>
                <w:color w:val="auto"/>
              </w:rPr>
            </w:pPr>
          </w:p>
        </w:tc>
      </w:tr>
      <w:tr>
        <w:trPr>
          <w:trHeight w:val="763"/>
        </w:trPr>
        <w:tc>
          <w:tcPr>
            <w:tcW w:w="1220" w:type="dxa"/>
            <w:vAlign w:val="bottom"/>
          </w:tcPr>
          <w:p>
            <w:pPr>
              <w:spacing w:after="0"/>
              <w:rPr>
                <w:sz w:val="24"/>
                <w:szCs w:val="24"/>
                <w:color w:val="auto"/>
              </w:rPr>
            </w:pPr>
          </w:p>
        </w:tc>
        <w:tc>
          <w:tcPr>
            <w:tcW w:w="760" w:type="dxa"/>
            <w:vAlign w:val="bottom"/>
            <w:tcBorders>
              <w:top w:val="single" w:sz="8" w:color="0000FF"/>
            </w:tcBorders>
            <w:gridSpan w:val="3"/>
          </w:tcPr>
          <w:p>
            <w:pPr>
              <w:spacing w:after="0"/>
              <w:rPr>
                <w:sz w:val="24"/>
                <w:szCs w:val="24"/>
                <w:color w:val="auto"/>
              </w:rPr>
            </w:pPr>
          </w:p>
        </w:tc>
        <w:tc>
          <w:tcPr>
            <w:tcW w:w="5680" w:type="dxa"/>
            <w:vAlign w:val="bottom"/>
            <w:gridSpan w:val="10"/>
          </w:tcPr>
          <w:p>
            <w:pPr>
              <w:jc w:val="right"/>
              <w:ind w:right="200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r>
      <w:tr>
        <w:trPr>
          <w:trHeight w:val="115"/>
        </w:trPr>
        <w:tc>
          <w:tcPr>
            <w:tcW w:w="1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5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data)</w:t>
            </w:r>
          </w:p>
        </w:tc>
        <w:tc>
          <w:tcPr>
            <w:tcW w:w="180" w:type="dxa"/>
            <w:vAlign w:val="bottom"/>
          </w:tcPr>
          <w:p>
            <w:pPr>
              <w:spacing w:after="0"/>
              <w:rPr>
                <w:sz w:val="22"/>
                <w:szCs w:val="22"/>
                <w:color w:val="auto"/>
              </w:rPr>
            </w:pPr>
          </w:p>
        </w:tc>
        <w:tc>
          <w:tcPr>
            <w:tcW w:w="1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February 28, 2026</w:t>
            </w:r>
          </w:p>
        </w:tc>
        <w:tc>
          <w:tcPr>
            <w:tcW w:w="140" w:type="dxa"/>
            <w:vAlign w:val="bottom"/>
          </w:tcPr>
          <w:p>
            <w:pPr>
              <w:spacing w:after="0"/>
              <w:rPr>
                <w:sz w:val="22"/>
                <w:szCs w:val="22"/>
                <w:color w:val="auto"/>
              </w:rPr>
            </w:pPr>
          </w:p>
        </w:tc>
        <w:tc>
          <w:tcPr>
            <w:tcW w:w="1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November 30, 2025</w:t>
            </w:r>
          </w:p>
        </w:tc>
        <w:tc>
          <w:tcPr>
            <w:tcW w:w="0" w:type="dxa"/>
            <w:vAlign w:val="bottom"/>
          </w:tcPr>
          <w:p>
            <w:pPr>
              <w:spacing w:after="0"/>
              <w:rPr>
                <w:sz w:val="1"/>
                <w:szCs w:val="1"/>
                <w:color w:val="auto"/>
              </w:rPr>
            </w:pPr>
          </w:p>
        </w:tc>
      </w:tr>
      <w:tr>
        <w:trPr>
          <w:trHeight w:val="209"/>
        </w:trPr>
        <w:tc>
          <w:tcPr>
            <w:tcW w:w="7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94,807</w:t>
            </w:r>
          </w:p>
        </w:tc>
        <w:tc>
          <w:tcPr>
            <w:tcW w:w="0" w:type="dxa"/>
            <w:vAlign w:val="bottom"/>
          </w:tcPr>
          <w:p>
            <w:pPr>
              <w:spacing w:after="0"/>
              <w:rPr>
                <w:sz w:val="1"/>
                <w:szCs w:val="1"/>
                <w:color w:val="auto"/>
              </w:rPr>
            </w:pPr>
          </w:p>
        </w:tc>
      </w:tr>
      <w:tr>
        <w:trPr>
          <w:trHeight w:val="229"/>
        </w:trPr>
        <w:tc>
          <w:tcPr>
            <w:tcW w:w="7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195,783</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Unbilled receivables, current portion</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46,599</w:t>
            </w:r>
          </w:p>
        </w:tc>
        <w:tc>
          <w:tcPr>
            <w:tcW w:w="0" w:type="dxa"/>
            <w:vAlign w:val="bottom"/>
          </w:tcPr>
          <w:p>
            <w:pPr>
              <w:spacing w:after="0"/>
              <w:rPr>
                <w:sz w:val="1"/>
                <w:szCs w:val="1"/>
                <w:color w:val="auto"/>
              </w:rPr>
            </w:pPr>
          </w:p>
        </w:tc>
      </w:tr>
      <w:tr>
        <w:trPr>
          <w:trHeight w:val="229"/>
        </w:trPr>
        <w:tc>
          <w:tcPr>
            <w:tcW w:w="75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68,599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62,776</w:t>
            </w:r>
          </w:p>
        </w:tc>
        <w:tc>
          <w:tcPr>
            <w:tcW w:w="0" w:type="dxa"/>
            <w:vAlign w:val="bottom"/>
          </w:tcPr>
          <w:p>
            <w:pPr>
              <w:spacing w:after="0"/>
              <w:rPr>
                <w:sz w:val="1"/>
                <w:szCs w:val="1"/>
                <w:color w:val="auto"/>
              </w:rPr>
            </w:pPr>
          </w:p>
        </w:tc>
      </w:tr>
      <w:tr>
        <w:trPr>
          <w:trHeight w:val="223"/>
        </w:trPr>
        <w:tc>
          <w:tcPr>
            <w:tcW w:w="75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370,141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399,965</w:t>
            </w:r>
          </w:p>
        </w:tc>
        <w:tc>
          <w:tcPr>
            <w:tcW w:w="0" w:type="dxa"/>
            <w:vAlign w:val="bottom"/>
          </w:tcPr>
          <w:p>
            <w:pPr>
              <w:spacing w:after="0"/>
              <w:rPr>
                <w:sz w:val="1"/>
                <w:szCs w:val="1"/>
                <w:color w:val="auto"/>
              </w:rPr>
            </w:pPr>
          </w:p>
        </w:tc>
      </w:tr>
      <w:tr>
        <w:trPr>
          <w:trHeight w:val="223"/>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Unbilled receivables, non-current portion</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29,950</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13,694</w:t>
            </w:r>
          </w:p>
        </w:tc>
        <w:tc>
          <w:tcPr>
            <w:tcW w:w="0" w:type="dxa"/>
            <w:vAlign w:val="bottom"/>
          </w:tcPr>
          <w:p>
            <w:pPr>
              <w:spacing w:after="0"/>
              <w:rPr>
                <w:sz w:val="1"/>
                <w:szCs w:val="1"/>
                <w:color w:val="auto"/>
              </w:rPr>
            </w:pPr>
          </w:p>
        </w:tc>
      </w:tr>
      <w:tr>
        <w:trPr>
          <w:trHeight w:val="22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549,760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584,028</w:t>
            </w:r>
          </w:p>
        </w:tc>
        <w:tc>
          <w:tcPr>
            <w:tcW w:w="0" w:type="dxa"/>
            <w:vAlign w:val="bottom"/>
          </w:tcPr>
          <w:p>
            <w:pPr>
              <w:spacing w:after="0"/>
              <w:rPr>
                <w:sz w:val="1"/>
                <w:szCs w:val="1"/>
                <w:color w:val="auto"/>
              </w:rPr>
            </w:pPr>
          </w:p>
        </w:tc>
      </w:tr>
      <w:tr>
        <w:trPr>
          <w:trHeight w:val="22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1,309,070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1,309,054</w:t>
            </w:r>
          </w:p>
        </w:tc>
        <w:tc>
          <w:tcPr>
            <w:tcW w:w="0" w:type="dxa"/>
            <w:vAlign w:val="bottom"/>
          </w:tcPr>
          <w:p>
            <w:pPr>
              <w:spacing w:after="0"/>
              <w:rPr>
                <w:sz w:val="1"/>
                <w:szCs w:val="1"/>
                <w:color w:val="auto"/>
              </w:rPr>
            </w:pPr>
          </w:p>
        </w:tc>
      </w:tr>
      <w:tr>
        <w:trPr>
          <w:trHeight w:val="23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lease assets</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25,842</w:t>
            </w:r>
          </w:p>
        </w:tc>
        <w:tc>
          <w:tcPr>
            <w:tcW w:w="0" w:type="dxa"/>
            <w:vAlign w:val="bottom"/>
          </w:tcPr>
          <w:p>
            <w:pPr>
              <w:spacing w:after="0"/>
              <w:rPr>
                <w:sz w:val="1"/>
                <w:szCs w:val="1"/>
                <w:color w:val="auto"/>
              </w:rPr>
            </w:pPr>
          </w:p>
        </w:tc>
      </w:tr>
      <w:tr>
        <w:trPr>
          <w:trHeight w:val="22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77,442</w:t>
            </w:r>
          </w:p>
        </w:tc>
        <w:tc>
          <w:tcPr>
            <w:tcW w:w="0" w:type="dxa"/>
            <w:vAlign w:val="bottom"/>
          </w:tcPr>
          <w:p>
            <w:pPr>
              <w:spacing w:after="0"/>
              <w:rPr>
                <w:sz w:val="1"/>
                <w:szCs w:val="1"/>
                <w:color w:val="auto"/>
              </w:rPr>
            </w:pPr>
          </w:p>
        </w:tc>
      </w:tr>
      <w:tr>
        <w:trPr>
          <w:trHeight w:val="230"/>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16,686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17,683</w:t>
            </w:r>
          </w:p>
        </w:tc>
        <w:tc>
          <w:tcPr>
            <w:tcW w:w="0" w:type="dxa"/>
            <w:vAlign w:val="bottom"/>
          </w:tcPr>
          <w:p>
            <w:pPr>
              <w:spacing w:after="0"/>
              <w:rPr>
                <w:sz w:val="1"/>
                <w:szCs w:val="1"/>
                <w:color w:val="auto"/>
              </w:rPr>
            </w:pPr>
          </w:p>
        </w:tc>
      </w:tr>
      <w:tr>
        <w:trPr>
          <w:trHeight w:val="248"/>
        </w:trPr>
        <w:tc>
          <w:tcPr>
            <w:tcW w:w="75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2,394,774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2,457,658</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5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15,934</w:t>
            </w:r>
          </w:p>
        </w:tc>
        <w:tc>
          <w:tcPr>
            <w:tcW w:w="0" w:type="dxa"/>
            <w:vAlign w:val="bottom"/>
          </w:tcPr>
          <w:p>
            <w:pPr>
              <w:spacing w:after="0"/>
              <w:rPr>
                <w:sz w:val="1"/>
                <w:szCs w:val="1"/>
                <w:color w:val="auto"/>
              </w:rPr>
            </w:pPr>
          </w:p>
        </w:tc>
      </w:tr>
      <w:tr>
        <w:trPr>
          <w:trHeight w:val="229"/>
        </w:trPr>
        <w:tc>
          <w:tcPr>
            <w:tcW w:w="7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compensation and related payroll taxes</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71,804</w:t>
            </w:r>
          </w:p>
        </w:tc>
        <w:tc>
          <w:tcPr>
            <w:tcW w:w="0" w:type="dxa"/>
            <w:vAlign w:val="bottom"/>
          </w:tcPr>
          <w:p>
            <w:pPr>
              <w:spacing w:after="0"/>
              <w:rPr>
                <w:sz w:val="1"/>
                <w:szCs w:val="1"/>
                <w:color w:val="auto"/>
              </w:rPr>
            </w:pPr>
          </w:p>
        </w:tc>
      </w:tr>
      <w:tr>
        <w:trPr>
          <w:trHeight w:val="229"/>
        </w:trPr>
        <w:tc>
          <w:tcPr>
            <w:tcW w:w="7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revenue, current portion</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330,766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324,750</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Convertible senior notes, current portion, net</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359,723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359,163</w:t>
            </w:r>
          </w:p>
        </w:tc>
        <w:tc>
          <w:tcPr>
            <w:tcW w:w="0" w:type="dxa"/>
            <w:vAlign w:val="bottom"/>
          </w:tcPr>
          <w:p>
            <w:pPr>
              <w:spacing w:after="0"/>
              <w:rPr>
                <w:sz w:val="1"/>
                <w:szCs w:val="1"/>
                <w:color w:val="auto"/>
              </w:rPr>
            </w:pPr>
          </w:p>
        </w:tc>
      </w:tr>
      <w:tr>
        <w:trPr>
          <w:trHeight w:val="229"/>
        </w:trPr>
        <w:tc>
          <w:tcPr>
            <w:tcW w:w="7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8,490</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29,593</w:t>
            </w:r>
          </w:p>
        </w:tc>
        <w:tc>
          <w:tcPr>
            <w:tcW w:w="0" w:type="dxa"/>
            <w:vAlign w:val="bottom"/>
          </w:tcPr>
          <w:p>
            <w:pPr>
              <w:spacing w:after="0"/>
              <w:rPr>
                <w:sz w:val="1"/>
                <w:szCs w:val="1"/>
                <w:color w:val="auto"/>
              </w:rPr>
            </w:pPr>
          </w:p>
        </w:tc>
      </w:tr>
      <w:tr>
        <w:trPr>
          <w:trHeight w:val="223"/>
        </w:trPr>
        <w:tc>
          <w:tcPr>
            <w:tcW w:w="75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788,121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809,734</w:t>
            </w:r>
          </w:p>
        </w:tc>
        <w:tc>
          <w:tcPr>
            <w:tcW w:w="0" w:type="dxa"/>
            <w:vAlign w:val="bottom"/>
          </w:tcPr>
          <w:p>
            <w:pPr>
              <w:spacing w:after="0"/>
              <w:rPr>
                <w:sz w:val="1"/>
                <w:szCs w:val="1"/>
                <w:color w:val="auto"/>
              </w:rPr>
            </w:pPr>
          </w:p>
        </w:tc>
      </w:tr>
      <w:tr>
        <w:trPr>
          <w:trHeight w:val="22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0" w:type="dxa"/>
            <w:vAlign w:val="bottom"/>
          </w:tcPr>
          <w:p>
            <w:pPr>
              <w:spacing w:after="0"/>
              <w:rPr>
                <w:sz w:val="1"/>
                <w:szCs w:val="1"/>
                <w:color w:val="auto"/>
              </w:rPr>
            </w:pPr>
          </w:p>
        </w:tc>
      </w:tr>
      <w:tr>
        <w:trPr>
          <w:trHeight w:val="23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senior notes, non-current portion, net</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441,664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441,186</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 portion</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21,077</w:t>
            </w:r>
          </w:p>
        </w:tc>
        <w:tc>
          <w:tcPr>
            <w:tcW w:w="0" w:type="dxa"/>
            <w:vAlign w:val="bottom"/>
          </w:tcPr>
          <w:p>
            <w:pPr>
              <w:spacing w:after="0"/>
              <w:rPr>
                <w:sz w:val="1"/>
                <w:szCs w:val="1"/>
                <w:color w:val="auto"/>
              </w:rPr>
            </w:pPr>
          </w:p>
        </w:tc>
      </w:tr>
      <w:tr>
        <w:trPr>
          <w:trHeight w:val="23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non-current portion</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100,329</w:t>
            </w:r>
          </w:p>
        </w:tc>
        <w:tc>
          <w:tcPr>
            <w:tcW w:w="0" w:type="dxa"/>
            <w:vAlign w:val="bottom"/>
          </w:tcPr>
          <w:p>
            <w:pPr>
              <w:spacing w:after="0"/>
              <w:rPr>
                <w:sz w:val="1"/>
                <w:szCs w:val="1"/>
                <w:color w:val="auto"/>
              </w:rPr>
            </w:pPr>
          </w:p>
        </w:tc>
      </w:tr>
      <w:tr>
        <w:trPr>
          <w:trHeight w:val="22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0" w:type="dxa"/>
            <w:vAlign w:val="bottom"/>
          </w:tcPr>
          <w:p>
            <w:pPr>
              <w:spacing w:after="0"/>
              <w:rPr>
                <w:sz w:val="1"/>
                <w:szCs w:val="1"/>
                <w:color w:val="auto"/>
              </w:rPr>
            </w:pPr>
          </w:p>
        </w:tc>
      </w:tr>
      <w:tr>
        <w:trPr>
          <w:trHeight w:val="23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5,825</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Preferred stock, $0.01 par value; authorized, 10,000,000 shares; issued, none</w:t>
            </w:r>
          </w:p>
        </w:tc>
        <w:tc>
          <w:tcPr>
            <w:tcW w:w="18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754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$0.01 par value; authorized, 200,000,000 shares; issued and outstanding,</w:t>
            </w:r>
          </w:p>
        </w:tc>
        <w:tc>
          <w:tcPr>
            <w:tcW w:w="1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42,074,590 shares in 2026 and 42,335,700 shares in 2025</w:t>
            </w: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383,696</w:t>
            </w:r>
          </w:p>
        </w:tc>
        <w:tc>
          <w:tcPr>
            <w:tcW w:w="0" w:type="dxa"/>
            <w:vAlign w:val="bottom"/>
          </w:tcPr>
          <w:p>
            <w:pPr>
              <w:spacing w:after="0"/>
              <w:rPr>
                <w:sz w:val="1"/>
                <w:szCs w:val="1"/>
                <w:color w:val="auto"/>
              </w:rPr>
            </w:pPr>
          </w:p>
        </w:tc>
      </w:tr>
      <w:tr>
        <w:trPr>
          <w:trHeight w:val="229"/>
        </w:trPr>
        <w:tc>
          <w:tcPr>
            <w:tcW w:w="7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127,373</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(32,667)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(33,143)</w:t>
            </w:r>
          </w:p>
        </w:tc>
        <w:tc>
          <w:tcPr>
            <w:tcW w:w="0" w:type="dxa"/>
            <w:vAlign w:val="bottom"/>
          </w:tcPr>
          <w:p>
            <w:pPr>
              <w:spacing w:after="0"/>
              <w:rPr>
                <w:sz w:val="1"/>
                <w:szCs w:val="1"/>
                <w:color w:val="auto"/>
              </w:rPr>
            </w:pPr>
          </w:p>
        </w:tc>
      </w:tr>
      <w:tr>
        <w:trPr>
          <w:trHeight w:val="223"/>
        </w:trPr>
        <w:tc>
          <w:tcPr>
            <w:tcW w:w="75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498,795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478,349</w:t>
            </w:r>
          </w:p>
        </w:tc>
        <w:tc>
          <w:tcPr>
            <w:tcW w:w="0" w:type="dxa"/>
            <w:vAlign w:val="bottom"/>
          </w:tcPr>
          <w:p>
            <w:pPr>
              <w:spacing w:after="0"/>
              <w:rPr>
                <w:sz w:val="1"/>
                <w:szCs w:val="1"/>
                <w:color w:val="auto"/>
              </w:rPr>
            </w:pPr>
          </w:p>
        </w:tc>
      </w:tr>
      <w:tr>
        <w:trPr>
          <w:trHeight w:val="248"/>
        </w:trPr>
        <w:tc>
          <w:tcPr>
            <w:tcW w:w="75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2,394,774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2,457,658</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4"/>
          </w:tcPr>
          <w:p>
            <w:pPr>
              <w:jc w:val="right"/>
              <w:ind w:right="109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23"/>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180" w:type="dxa"/>
            <w:vAlign w:val="bottom"/>
          </w:tcPr>
          <w:p>
            <w:pPr>
              <w:spacing w:after="0"/>
              <w:rPr>
                <w:sz w:val="19"/>
                <w:szCs w:val="19"/>
                <w:color w:val="auto"/>
              </w:rPr>
            </w:pPr>
          </w:p>
        </w:tc>
        <w:tc>
          <w:tcPr>
            <w:tcW w:w="18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February 28, 2026</w:t>
            </w:r>
          </w:p>
        </w:tc>
        <w:tc>
          <w:tcPr>
            <w:tcW w:w="200" w:type="dxa"/>
            <w:vAlign w:val="bottom"/>
          </w:tcPr>
          <w:p>
            <w:pPr>
              <w:spacing w:after="0"/>
              <w:rPr>
                <w:sz w:val="19"/>
                <w:szCs w:val="19"/>
                <w:color w:val="auto"/>
              </w:rPr>
            </w:pPr>
          </w:p>
        </w:tc>
        <w:tc>
          <w:tcPr>
            <w:tcW w:w="16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February 28, 2025</w:t>
            </w:r>
          </w:p>
        </w:tc>
      </w:tr>
      <w:tr>
        <w:trPr>
          <w:trHeight w:val="209"/>
        </w:trPr>
        <w:tc>
          <w:tcPr>
            <w:tcW w:w="7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r>
      <w:tr>
        <w:trPr>
          <w:trHeight w:val="229"/>
        </w:trPr>
        <w:tc>
          <w:tcPr>
            <w:tcW w:w="7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Software licenses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67,581</w:t>
            </w:r>
          </w:p>
        </w:tc>
        <w:tc>
          <w:tcPr>
            <w:tcW w:w="1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58,445</w:t>
            </w:r>
          </w:p>
        </w:tc>
      </w:tr>
      <w:tr>
        <w:trPr>
          <w:trHeight w:val="230"/>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Maintenance, SaaS, and professional services</w:t>
            </w: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180,218</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179,570</w:t>
            </w:r>
          </w:p>
        </w:tc>
      </w:tr>
      <w:tr>
        <w:trPr>
          <w:trHeight w:val="223"/>
        </w:trPr>
        <w:tc>
          <w:tcPr>
            <w:tcW w:w="736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247,799</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238,015</w:t>
            </w:r>
          </w:p>
        </w:tc>
      </w:tr>
      <w:tr>
        <w:trPr>
          <w:trHeight w:val="21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of revenue:</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29"/>
        </w:trPr>
        <w:tc>
          <w:tcPr>
            <w:tcW w:w="7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software licenses</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2,925</w:t>
            </w:r>
          </w:p>
        </w:tc>
      </w:tr>
      <w:tr>
        <w:trPr>
          <w:trHeight w:val="229"/>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maintenance, SaaS, and professional services</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32,884</w:t>
            </w:r>
          </w:p>
        </w:tc>
      </w:tr>
      <w:tr>
        <w:trPr>
          <w:trHeight w:val="230"/>
        </w:trPr>
        <w:tc>
          <w:tcPr>
            <w:tcW w:w="7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Amortization of acquired intangibles</w:t>
            </w: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8,751</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10,422</w:t>
            </w:r>
          </w:p>
        </w:tc>
      </w:tr>
      <w:tr>
        <w:trPr>
          <w:trHeight w:val="223"/>
        </w:trPr>
        <w:tc>
          <w:tcPr>
            <w:tcW w:w="73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Total costs of revenue</w:t>
            </w: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43,864</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46,231</w:t>
            </w:r>
          </w:p>
        </w:tc>
      </w:tr>
      <w:tr>
        <w:trPr>
          <w:trHeight w:val="223"/>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203,935</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191,784</w:t>
            </w:r>
          </w:p>
        </w:tc>
      </w:tr>
      <w:tr>
        <w:trPr>
          <w:trHeight w:val="20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30"/>
        </w:trPr>
        <w:tc>
          <w:tcPr>
            <w:tcW w:w="7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51,997</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51,296</w:t>
            </w:r>
          </w:p>
        </w:tc>
      </w:tr>
      <w:tr>
        <w:trPr>
          <w:trHeight w:val="229"/>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 development</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50,474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46,375</w:t>
            </w:r>
          </w:p>
        </w:tc>
      </w:tr>
      <w:tr>
        <w:trPr>
          <w:trHeight w:val="230"/>
        </w:trPr>
        <w:tc>
          <w:tcPr>
            <w:tcW w:w="7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25,623</w:t>
            </w:r>
          </w:p>
        </w:tc>
      </w:tr>
      <w:tr>
        <w:trPr>
          <w:trHeight w:val="229"/>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acquired intangibles</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25,808</w:t>
            </w:r>
          </w:p>
        </w:tc>
      </w:tr>
      <w:tr>
        <w:trPr>
          <w:trHeight w:val="229"/>
        </w:trPr>
        <w:tc>
          <w:tcPr>
            <w:tcW w:w="7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Cyber vulnerability response expenses, net</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r>
      <w:tr>
        <w:trPr>
          <w:trHeight w:val="230"/>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Restructuring expenses</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7,029</w:t>
            </w:r>
          </w:p>
        </w:tc>
      </w:tr>
      <w:tr>
        <w:trPr>
          <w:trHeight w:val="229"/>
        </w:trPr>
        <w:tc>
          <w:tcPr>
            <w:tcW w:w="7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2,490</w:t>
            </w:r>
          </w:p>
        </w:tc>
      </w:tr>
      <w:tr>
        <w:trPr>
          <w:trHeight w:val="223"/>
        </w:trPr>
        <w:tc>
          <w:tcPr>
            <w:tcW w:w="73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157,470</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159,358</w:t>
            </w:r>
          </w:p>
        </w:tc>
      </w:tr>
      <w:tr>
        <w:trPr>
          <w:trHeight w:val="223"/>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46,465</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32,426</w:t>
            </w:r>
          </w:p>
        </w:tc>
      </w:tr>
      <w:tr>
        <w:trPr>
          <w:trHeight w:val="21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30"/>
        </w:trPr>
        <w:tc>
          <w:tcPr>
            <w:tcW w:w="7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(18,429)</w:t>
            </w:r>
          </w:p>
        </w:tc>
      </w:tr>
      <w:tr>
        <w:trPr>
          <w:trHeight w:val="230"/>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r>
      <w:tr>
        <w:trPr>
          <w:trHeight w:val="229"/>
        </w:trPr>
        <w:tc>
          <w:tcPr>
            <w:tcW w:w="7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 currency loss, net</w:t>
            </w: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w:t>
            </w:r>
          </w:p>
        </w:tc>
      </w:tr>
      <w:tr>
        <w:trPr>
          <w:trHeight w:val="223"/>
        </w:trPr>
        <w:tc>
          <w:tcPr>
            <w:tcW w:w="73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Total other expense, net</w:t>
            </w: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(16,173)</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(19,124)</w:t>
            </w:r>
          </w:p>
        </w:tc>
      </w:tr>
      <w:tr>
        <w:trPr>
          <w:trHeight w:val="223"/>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30,292</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13,302</w:t>
            </w:r>
          </w:p>
        </w:tc>
      </w:tr>
      <w:tr>
        <w:trPr>
          <w:trHeight w:val="22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7,479</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w:t>
            </w:r>
          </w:p>
        </w:tc>
      </w:tr>
      <w:tr>
        <w:trPr>
          <w:trHeight w:val="223"/>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22,813</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10,946</w:t>
            </w:r>
          </w:p>
        </w:tc>
      </w:tr>
      <w:tr>
        <w:trPr>
          <w:trHeight w:val="20"/>
        </w:trPr>
        <w:tc>
          <w:tcPr>
            <w:tcW w:w="73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23"/>
        </w:trPr>
        <w:tc>
          <w:tcPr>
            <w:tcW w:w="7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30"/>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7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r>
      <w:tr>
        <w:trPr>
          <w:trHeight w:val="230"/>
        </w:trPr>
        <w:tc>
          <w:tcPr>
            <w:tcW w:w="73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r>
      <w:tr>
        <w:trPr>
          <w:trHeight w:val="22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30"/>
        </w:trPr>
        <w:tc>
          <w:tcPr>
            <w:tcW w:w="73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42,155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43,256</w:t>
            </w:r>
          </w:p>
        </w:tc>
      </w:tr>
      <w:tr>
        <w:trPr>
          <w:trHeight w:val="230"/>
        </w:trPr>
        <w:tc>
          <w:tcPr>
            <w:tcW w:w="7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42,729</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44,887</w:t>
            </w:r>
          </w:p>
        </w:tc>
      </w:tr>
    </w:tbl>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8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57"/>
        </w:trPr>
        <w:tc>
          <w:tcPr>
            <w:tcW w:w="83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8"/>
                <w:szCs w:val="18"/>
                <w:color w:val="auto"/>
              </w:rPr>
              <w:t>Three Months Ended</w:t>
            </w:r>
          </w:p>
        </w:tc>
        <w:tc>
          <w:tcPr>
            <w:tcW w:w="620" w:type="dxa"/>
            <w:vAlign w:val="bottom"/>
            <w:tcBorders>
              <w:bottom w:val="single" w:sz="8" w:color="auto"/>
            </w:tcBorders>
          </w:tcPr>
          <w:p>
            <w:pPr>
              <w:spacing w:after="0"/>
              <w:rPr>
                <w:sz w:val="22"/>
                <w:szCs w:val="22"/>
                <w:color w:val="auto"/>
              </w:rPr>
            </w:pPr>
          </w:p>
        </w:tc>
      </w:tr>
      <w:tr>
        <w:trPr>
          <w:trHeight w:val="223"/>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February 28, 2026</w:t>
            </w: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February 28, 2025</w:t>
            </w:r>
          </w:p>
        </w:tc>
      </w:tr>
      <w:tr>
        <w:trPr>
          <w:trHeight w:val="223"/>
        </w:trPr>
        <w:tc>
          <w:tcPr>
            <w:tcW w:w="8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22,813</w:t>
            </w:r>
          </w:p>
        </w:tc>
        <w:tc>
          <w:tcPr>
            <w:tcW w:w="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10,946</w:t>
            </w:r>
          </w:p>
        </w:tc>
      </w:tr>
      <w:tr>
        <w:trPr>
          <w:trHeight w:val="22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30"/>
        </w:trPr>
        <w:tc>
          <w:tcPr>
            <w:tcW w:w="8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8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w:t>
            </w:r>
          </w:p>
        </w:tc>
      </w:tr>
      <w:tr>
        <w:trPr>
          <w:trHeight w:val="223"/>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23,289</w:t>
            </w:r>
          </w:p>
        </w:tc>
        <w:tc>
          <w:tcPr>
            <w:tcW w:w="80" w:type="dxa"/>
            <w:vAlign w:val="bottom"/>
          </w:tcPr>
          <w:p>
            <w:pPr>
              <w:spacing w:after="0"/>
              <w:rPr>
                <w:sz w:val="19"/>
                <w:szCs w:val="19"/>
                <w:color w:val="auto"/>
              </w:rPr>
            </w:pPr>
          </w:p>
        </w:tc>
        <w:tc>
          <w:tcPr>
            <w:tcW w:w="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9,534</w:t>
            </w:r>
          </w:p>
        </w:tc>
      </w:tr>
      <w:tr>
        <w:trPr>
          <w:trHeight w:val="21"/>
        </w:trPr>
        <w:tc>
          <w:tcPr>
            <w:tcW w:w="8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4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49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gridSpan w:val="11"/>
          </w:tcPr>
          <w:p>
            <w:pPr>
              <w:ind w:left="540"/>
              <w:spacing w:after="0"/>
              <w:rPr>
                <w:sz w:val="20"/>
                <w:szCs w:val="20"/>
                <w:color w:val="auto"/>
              </w:rPr>
            </w:pPr>
            <w:r>
              <w:rPr>
                <w:rFonts w:ascii="Times New Roman" w:cs="Times New Roman" w:eastAsia="Times New Roman" w:hAnsi="Times New Roman"/>
                <w:sz w:val="18"/>
                <w:szCs w:val="18"/>
                <w:color w:val="auto"/>
              </w:rPr>
              <w:t>Three Months Ended February 28, 2026</w:t>
            </w: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920" w:type="dxa"/>
            <w:vAlign w:val="bottom"/>
          </w:tcPr>
          <w:p>
            <w:pPr>
              <w:spacing w:after="0"/>
              <w:rPr>
                <w:sz w:val="15"/>
                <w:szCs w:val="15"/>
                <w:color w:val="auto"/>
              </w:rPr>
            </w:pPr>
          </w:p>
        </w:tc>
        <w:tc>
          <w:tcPr>
            <w:tcW w:w="2080" w:type="dxa"/>
            <w:vAlign w:val="bottom"/>
            <w:gridSpan w:val="5"/>
            <w:vMerge w:val="restart"/>
          </w:tcPr>
          <w:p>
            <w:pPr>
              <w:ind w:left="440"/>
              <w:spacing w:after="0"/>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180"/>
              <w:spacing w:after="0" w:line="182" w:lineRule="exact"/>
              <w:rPr>
                <w:sz w:val="20"/>
                <w:szCs w:val="20"/>
                <w:color w:val="auto"/>
              </w:rPr>
            </w:pPr>
            <w:r>
              <w:rPr>
                <w:rFonts w:ascii="Times New Roman" w:cs="Times New Roman" w:eastAsia="Times New Roman" w:hAnsi="Times New Roman"/>
                <w:sz w:val="18"/>
                <w:szCs w:val="18"/>
                <w:color w:val="auto"/>
                <w:w w:val="99"/>
              </w:rPr>
              <w:t>Accumulated</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920" w:type="dxa"/>
            <w:vAlign w:val="bottom"/>
          </w:tcPr>
          <w:p>
            <w:pPr>
              <w:spacing w:after="0"/>
              <w:rPr>
                <w:sz w:val="14"/>
                <w:szCs w:val="14"/>
                <w:color w:val="auto"/>
              </w:rPr>
            </w:pPr>
          </w:p>
        </w:tc>
        <w:tc>
          <w:tcPr>
            <w:tcW w:w="2080" w:type="dxa"/>
            <w:vAlign w:val="bottom"/>
            <w:gridSpan w:val="5"/>
            <w:vMerge w:val="continue"/>
          </w:tcPr>
          <w:p>
            <w:pPr>
              <w:spacing w:after="0"/>
              <w:rPr>
                <w:sz w:val="14"/>
                <w:szCs w:val="14"/>
                <w:color w:val="auto"/>
              </w:rPr>
            </w:pPr>
          </w:p>
        </w:tc>
        <w:tc>
          <w:tcPr>
            <w:tcW w:w="980" w:type="dxa"/>
            <w:vAlign w:val="bottom"/>
            <w:gridSpan w:val="3"/>
          </w:tcPr>
          <w:p>
            <w:pPr>
              <w:jc w:val="center"/>
              <w:ind w:right="80"/>
              <w:spacing w:after="0" w:line="156" w:lineRule="exact"/>
              <w:rPr>
                <w:sz w:val="20"/>
                <w:szCs w:val="20"/>
                <w:color w:val="auto"/>
              </w:rPr>
            </w:pPr>
            <w:r>
              <w:rPr>
                <w:rFonts w:ascii="Times New Roman" w:cs="Times New Roman" w:eastAsia="Times New Roman" w:hAnsi="Times New Roman"/>
                <w:sz w:val="18"/>
                <w:szCs w:val="18"/>
                <w:color w:val="auto"/>
              </w:rPr>
              <w:t>Additional</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180"/>
              <w:spacing w:after="0" w:line="156" w:lineRule="exact"/>
              <w:rPr>
                <w:sz w:val="20"/>
                <w:szCs w:val="20"/>
                <w:color w:val="auto"/>
              </w:rPr>
            </w:pPr>
            <w:r>
              <w:rPr>
                <w:rFonts w:ascii="Times New Roman" w:cs="Times New Roman" w:eastAsia="Times New Roman" w:hAnsi="Times New Roman"/>
                <w:sz w:val="18"/>
                <w:szCs w:val="18"/>
                <w:color w:val="auto"/>
                <w:w w:val="97"/>
              </w:rPr>
              <w:t>Other</w:t>
            </w:r>
          </w:p>
        </w:tc>
        <w:tc>
          <w:tcPr>
            <w:tcW w:w="200" w:type="dxa"/>
            <w:vAlign w:val="bottom"/>
          </w:tcPr>
          <w:p>
            <w:pPr>
              <w:spacing w:after="0"/>
              <w:rPr>
                <w:sz w:val="14"/>
                <w:szCs w:val="14"/>
                <w:color w:val="auto"/>
              </w:rPr>
            </w:pPr>
          </w:p>
        </w:tc>
        <w:tc>
          <w:tcPr>
            <w:tcW w:w="820" w:type="dxa"/>
            <w:vAlign w:val="bottom"/>
          </w:tcPr>
          <w:p>
            <w:pPr>
              <w:jc w:val="center"/>
              <w:ind w:right="90"/>
              <w:spacing w:after="0" w:line="156" w:lineRule="exact"/>
              <w:rPr>
                <w:sz w:val="20"/>
                <w:szCs w:val="20"/>
                <w:color w:val="auto"/>
              </w:rPr>
            </w:pPr>
            <w:r>
              <w:rPr>
                <w:rFonts w:ascii="Times New Roman" w:cs="Times New Roman" w:eastAsia="Times New Roman" w:hAnsi="Times New Roman"/>
                <w:sz w:val="18"/>
                <w:szCs w:val="18"/>
                <w:color w:val="auto"/>
                <w:w w:val="94"/>
              </w:rPr>
              <w:t>Total</w:t>
            </w:r>
          </w:p>
        </w:tc>
        <w:tc>
          <w:tcPr>
            <w:tcW w:w="0" w:type="dxa"/>
            <w:vAlign w:val="bottom"/>
          </w:tcPr>
          <w:p>
            <w:pPr>
              <w:spacing w:after="0"/>
              <w:rPr>
                <w:sz w:val="1"/>
                <w:szCs w:val="1"/>
                <w:color w:val="auto"/>
              </w:rPr>
            </w:pPr>
          </w:p>
        </w:tc>
      </w:tr>
      <w:tr>
        <w:trPr>
          <w:trHeight w:val="169"/>
        </w:trPr>
        <w:tc>
          <w:tcPr>
            <w:tcW w:w="4920" w:type="dxa"/>
            <w:vAlign w:val="bottom"/>
          </w:tcPr>
          <w:p>
            <w:pPr>
              <w:spacing w:after="0"/>
              <w:rPr>
                <w:sz w:val="14"/>
                <w:szCs w:val="14"/>
                <w:color w:val="auto"/>
              </w:rPr>
            </w:pPr>
          </w:p>
        </w:tc>
        <w:tc>
          <w:tcPr>
            <w:tcW w:w="1040" w:type="dxa"/>
            <w:vAlign w:val="bottom"/>
            <w:tcBorders>
              <w:top w:val="single" w:sz="8" w:color="auto"/>
            </w:tcBorders>
            <w:gridSpan w:val="2"/>
          </w:tcPr>
          <w:p>
            <w:pPr>
              <w:jc w:val="center"/>
              <w:ind w:right="80"/>
              <w:spacing w:after="0" w:line="169" w:lineRule="exact"/>
              <w:rPr>
                <w:sz w:val="20"/>
                <w:szCs w:val="20"/>
                <w:color w:val="auto"/>
              </w:rPr>
            </w:pPr>
            <w:r>
              <w:rPr>
                <w:rFonts w:ascii="Times New Roman" w:cs="Times New Roman" w:eastAsia="Times New Roman" w:hAnsi="Times New Roman"/>
                <w:sz w:val="18"/>
                <w:szCs w:val="18"/>
                <w:color w:val="auto"/>
              </w:rPr>
              <w:t>Number of</w:t>
            </w:r>
          </w:p>
        </w:tc>
        <w:tc>
          <w:tcPr>
            <w:tcW w:w="1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color w:val="auto"/>
              </w:rPr>
              <w:t>Paid-In</w:t>
            </w:r>
          </w:p>
        </w:tc>
        <w:tc>
          <w:tcPr>
            <w:tcW w:w="120" w:type="dxa"/>
            <w:vAlign w:val="bottom"/>
          </w:tcPr>
          <w:p>
            <w:pPr>
              <w:spacing w:after="0"/>
              <w:rPr>
                <w:sz w:val="14"/>
                <w:szCs w:val="14"/>
                <w:color w:val="auto"/>
              </w:rPr>
            </w:pPr>
          </w:p>
        </w:tc>
        <w:tc>
          <w:tcPr>
            <w:tcW w:w="88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Retained</w:t>
            </w:r>
          </w:p>
        </w:tc>
        <w:tc>
          <w:tcPr>
            <w:tcW w:w="1240" w:type="dxa"/>
            <w:vAlign w:val="bottom"/>
            <w:gridSpan w:val="3"/>
          </w:tcPr>
          <w:p>
            <w:pPr>
              <w:ind w:left="20"/>
              <w:spacing w:after="0" w:line="169" w:lineRule="exact"/>
              <w:rPr>
                <w:sz w:val="20"/>
                <w:szCs w:val="20"/>
                <w:color w:val="auto"/>
              </w:rPr>
            </w:pPr>
            <w:r>
              <w:rPr>
                <w:rFonts w:ascii="Times New Roman" w:cs="Times New Roman" w:eastAsia="Times New Roman" w:hAnsi="Times New Roman"/>
                <w:sz w:val="18"/>
                <w:szCs w:val="18"/>
                <w:color w:val="auto"/>
              </w:rPr>
              <w:t>Comprehensive</w:t>
            </w:r>
          </w:p>
        </w:tc>
        <w:tc>
          <w:tcPr>
            <w:tcW w:w="102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Stockholders'</w:t>
            </w:r>
          </w:p>
        </w:tc>
        <w:tc>
          <w:tcPr>
            <w:tcW w:w="0" w:type="dxa"/>
            <w:vAlign w:val="bottom"/>
          </w:tcPr>
          <w:p>
            <w:pPr>
              <w:spacing w:after="0"/>
              <w:rPr>
                <w:sz w:val="1"/>
                <w:szCs w:val="1"/>
                <w:color w:val="auto"/>
              </w:rPr>
            </w:pPr>
          </w:p>
        </w:tc>
      </w:tr>
      <w:tr>
        <w:trPr>
          <w:trHeight w:val="243"/>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Shares</w:t>
            </w:r>
          </w:p>
        </w:tc>
        <w:tc>
          <w:tcPr>
            <w:tcW w:w="140" w:type="dxa"/>
            <w:vAlign w:val="bottom"/>
          </w:tcPr>
          <w:p>
            <w:pPr>
              <w:spacing w:after="0"/>
              <w:rPr>
                <w:sz w:val="21"/>
                <w:szCs w:val="21"/>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Amount</w:t>
            </w:r>
          </w:p>
        </w:tc>
        <w:tc>
          <w:tcPr>
            <w:tcW w:w="140" w:type="dxa"/>
            <w:vAlign w:val="bottom"/>
          </w:tcPr>
          <w:p>
            <w:pPr>
              <w:spacing w:after="0"/>
              <w:rPr>
                <w:sz w:val="21"/>
                <w:szCs w:val="21"/>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Capital</w:t>
            </w:r>
          </w:p>
        </w:tc>
        <w:tc>
          <w:tcPr>
            <w:tcW w:w="120" w:type="dxa"/>
            <w:vAlign w:val="bottom"/>
          </w:tcPr>
          <w:p>
            <w:pPr>
              <w:spacing w:after="0"/>
              <w:rPr>
                <w:sz w:val="21"/>
                <w:szCs w:val="21"/>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Earnings</w:t>
            </w:r>
          </w:p>
        </w:tc>
        <w:tc>
          <w:tcPr>
            <w:tcW w:w="100" w:type="dxa"/>
            <w:vAlign w:val="bottom"/>
          </w:tcPr>
          <w:p>
            <w:pPr>
              <w:spacing w:after="0"/>
              <w:rPr>
                <w:sz w:val="21"/>
                <w:szCs w:val="21"/>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Loss</w:t>
            </w:r>
          </w:p>
        </w:tc>
        <w:tc>
          <w:tcPr>
            <w:tcW w:w="200" w:type="dxa"/>
            <w:vAlign w:val="bottom"/>
          </w:tcPr>
          <w:p>
            <w:pPr>
              <w:spacing w:after="0"/>
              <w:rPr>
                <w:sz w:val="21"/>
                <w:szCs w:val="21"/>
                <w:color w:val="auto"/>
              </w:rPr>
            </w:pPr>
          </w:p>
        </w:tc>
        <w:tc>
          <w:tcPr>
            <w:tcW w:w="8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223"/>
        </w:trPr>
        <w:tc>
          <w:tcPr>
            <w:tcW w:w="4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1, 2025</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42,336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383,696</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127,373</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(33,143)</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478,349</w:t>
            </w:r>
          </w:p>
        </w:tc>
        <w:tc>
          <w:tcPr>
            <w:tcW w:w="0" w:type="dxa"/>
            <w:vAlign w:val="bottom"/>
          </w:tcPr>
          <w:p>
            <w:pPr>
              <w:spacing w:after="0"/>
              <w:rPr>
                <w:sz w:val="1"/>
                <w:szCs w:val="1"/>
                <w:color w:val="auto"/>
              </w:rPr>
            </w:pPr>
          </w:p>
        </w:tc>
      </w:tr>
      <w:tr>
        <w:trPr>
          <w:trHeight w:val="229"/>
        </w:trPr>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Issuance of stock under employee stock purchase plan</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29"/>
        </w:trPr>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Vesting of RSUs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Withholding tax payments related to net issuance of RSUs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w:t>
            </w:r>
          </w:p>
        </w:tc>
        <w:tc>
          <w:tcPr>
            <w:tcW w:w="0" w:type="dxa"/>
            <w:vAlign w:val="bottom"/>
          </w:tcPr>
          <w:p>
            <w:pPr>
              <w:spacing w:after="0"/>
              <w:rPr>
                <w:sz w:val="1"/>
                <w:szCs w:val="1"/>
                <w:color w:val="auto"/>
              </w:rPr>
            </w:pPr>
          </w:p>
        </w:tc>
      </w:tr>
      <w:tr>
        <w:trPr>
          <w:trHeight w:val="230"/>
        </w:trPr>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18,474</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stock repurchases and retirements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(20,401)</w:t>
            </w:r>
          </w:p>
        </w:tc>
        <w:tc>
          <w:tcPr>
            <w:tcW w:w="0" w:type="dxa"/>
            <w:vAlign w:val="bottom"/>
          </w:tcPr>
          <w:p>
            <w:pPr>
              <w:spacing w:after="0"/>
              <w:rPr>
                <w:sz w:val="1"/>
                <w:szCs w:val="1"/>
                <w:color w:val="auto"/>
              </w:rPr>
            </w:pPr>
          </w:p>
        </w:tc>
      </w:tr>
      <w:tr>
        <w:trPr>
          <w:trHeight w:val="229"/>
        </w:trPr>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22,813</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February 28, 2026</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42,075</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398,033</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133,008</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(32,667)</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498,795</w:t>
            </w:r>
          </w:p>
        </w:tc>
        <w:tc>
          <w:tcPr>
            <w:tcW w:w="0" w:type="dxa"/>
            <w:vAlign w:val="bottom"/>
          </w:tcPr>
          <w:p>
            <w:pPr>
              <w:spacing w:after="0"/>
              <w:rPr>
                <w:sz w:val="1"/>
                <w:szCs w:val="1"/>
                <w:color w:val="auto"/>
              </w:rPr>
            </w:pPr>
          </w:p>
        </w:tc>
      </w:tr>
      <w:tr>
        <w:trPr>
          <w:trHeight w:val="21"/>
        </w:trPr>
        <w:tc>
          <w:tcPr>
            <w:tcW w:w="49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8"/>
        </w:trPr>
        <w:tc>
          <w:tcPr>
            <w:tcW w:w="49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gridSpan w:val="11"/>
          </w:tcPr>
          <w:p>
            <w:pPr>
              <w:ind w:left="540"/>
              <w:spacing w:after="0"/>
              <w:rPr>
                <w:sz w:val="20"/>
                <w:szCs w:val="20"/>
                <w:color w:val="auto"/>
              </w:rPr>
            </w:pPr>
            <w:r>
              <w:rPr>
                <w:rFonts w:ascii="Times New Roman" w:cs="Times New Roman" w:eastAsia="Times New Roman" w:hAnsi="Times New Roman"/>
                <w:sz w:val="18"/>
                <w:szCs w:val="18"/>
                <w:color w:val="auto"/>
              </w:rPr>
              <w:t>Three Months Ended February 28, 2025</w:t>
            </w: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920" w:type="dxa"/>
            <w:vAlign w:val="bottom"/>
          </w:tcPr>
          <w:p>
            <w:pPr>
              <w:spacing w:after="0"/>
              <w:rPr>
                <w:sz w:val="15"/>
                <w:szCs w:val="15"/>
                <w:color w:val="auto"/>
              </w:rPr>
            </w:pPr>
          </w:p>
        </w:tc>
        <w:tc>
          <w:tcPr>
            <w:tcW w:w="2000" w:type="dxa"/>
            <w:vAlign w:val="bottom"/>
            <w:gridSpan w:val="4"/>
            <w:vMerge w:val="restart"/>
          </w:tcPr>
          <w:p>
            <w:pPr>
              <w:ind w:left="440"/>
              <w:spacing w:after="0"/>
              <w:rPr>
                <w:sz w:val="20"/>
                <w:szCs w:val="20"/>
                <w:color w:val="auto"/>
              </w:rPr>
            </w:pPr>
            <w:r>
              <w:rPr>
                <w:rFonts w:ascii="Times New Roman" w:cs="Times New Roman" w:eastAsia="Times New Roman" w:hAnsi="Times New Roman"/>
                <w:sz w:val="18"/>
                <w:szCs w:val="18"/>
                <w:color w:val="auto"/>
              </w:rPr>
              <w:t>Common Stock</w:t>
            </w:r>
          </w:p>
        </w:tc>
        <w:tc>
          <w:tcPr>
            <w:tcW w:w="8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180"/>
              <w:spacing w:after="0" w:line="182" w:lineRule="exact"/>
              <w:rPr>
                <w:sz w:val="20"/>
                <w:szCs w:val="20"/>
                <w:color w:val="auto"/>
              </w:rPr>
            </w:pPr>
            <w:r>
              <w:rPr>
                <w:rFonts w:ascii="Times New Roman" w:cs="Times New Roman" w:eastAsia="Times New Roman" w:hAnsi="Times New Roman"/>
                <w:sz w:val="18"/>
                <w:szCs w:val="18"/>
                <w:color w:val="auto"/>
                <w:w w:val="99"/>
              </w:rPr>
              <w:t>Accumulated</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4920" w:type="dxa"/>
            <w:vAlign w:val="bottom"/>
          </w:tcPr>
          <w:p>
            <w:pPr>
              <w:spacing w:after="0"/>
              <w:rPr>
                <w:sz w:val="14"/>
                <w:szCs w:val="14"/>
                <w:color w:val="auto"/>
              </w:rPr>
            </w:pPr>
          </w:p>
        </w:tc>
        <w:tc>
          <w:tcPr>
            <w:tcW w:w="2000" w:type="dxa"/>
            <w:vAlign w:val="bottom"/>
            <w:tcBorders>
              <w:bottom w:val="single" w:sz="8" w:color="auto"/>
            </w:tcBorders>
            <w:gridSpan w:val="4"/>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980" w:type="dxa"/>
            <w:vAlign w:val="bottom"/>
            <w:gridSpan w:val="3"/>
          </w:tcPr>
          <w:p>
            <w:pPr>
              <w:jc w:val="center"/>
              <w:ind w:right="80"/>
              <w:spacing w:after="0" w:line="156" w:lineRule="exact"/>
              <w:rPr>
                <w:sz w:val="20"/>
                <w:szCs w:val="20"/>
                <w:color w:val="auto"/>
              </w:rPr>
            </w:pPr>
            <w:r>
              <w:rPr>
                <w:rFonts w:ascii="Times New Roman" w:cs="Times New Roman" w:eastAsia="Times New Roman" w:hAnsi="Times New Roman"/>
                <w:sz w:val="18"/>
                <w:szCs w:val="18"/>
                <w:color w:val="auto"/>
              </w:rPr>
              <w:t>Additional</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180"/>
              <w:spacing w:after="0" w:line="156" w:lineRule="exact"/>
              <w:rPr>
                <w:sz w:val="20"/>
                <w:szCs w:val="20"/>
                <w:color w:val="auto"/>
              </w:rPr>
            </w:pPr>
            <w:r>
              <w:rPr>
                <w:rFonts w:ascii="Times New Roman" w:cs="Times New Roman" w:eastAsia="Times New Roman" w:hAnsi="Times New Roman"/>
                <w:sz w:val="18"/>
                <w:szCs w:val="18"/>
                <w:color w:val="auto"/>
                <w:w w:val="97"/>
              </w:rPr>
              <w:t>Other</w:t>
            </w:r>
          </w:p>
        </w:tc>
        <w:tc>
          <w:tcPr>
            <w:tcW w:w="200" w:type="dxa"/>
            <w:vAlign w:val="bottom"/>
          </w:tcPr>
          <w:p>
            <w:pPr>
              <w:spacing w:after="0"/>
              <w:rPr>
                <w:sz w:val="14"/>
                <w:szCs w:val="14"/>
                <w:color w:val="auto"/>
              </w:rPr>
            </w:pPr>
          </w:p>
        </w:tc>
        <w:tc>
          <w:tcPr>
            <w:tcW w:w="820" w:type="dxa"/>
            <w:vAlign w:val="bottom"/>
          </w:tcPr>
          <w:p>
            <w:pPr>
              <w:jc w:val="center"/>
              <w:ind w:right="90"/>
              <w:spacing w:after="0" w:line="156" w:lineRule="exact"/>
              <w:rPr>
                <w:sz w:val="20"/>
                <w:szCs w:val="20"/>
                <w:color w:val="auto"/>
              </w:rPr>
            </w:pPr>
            <w:r>
              <w:rPr>
                <w:rFonts w:ascii="Times New Roman" w:cs="Times New Roman" w:eastAsia="Times New Roman" w:hAnsi="Times New Roman"/>
                <w:sz w:val="18"/>
                <w:szCs w:val="18"/>
                <w:color w:val="auto"/>
                <w:w w:val="94"/>
              </w:rPr>
              <w:t>Total</w:t>
            </w:r>
          </w:p>
        </w:tc>
        <w:tc>
          <w:tcPr>
            <w:tcW w:w="0" w:type="dxa"/>
            <w:vAlign w:val="bottom"/>
          </w:tcPr>
          <w:p>
            <w:pPr>
              <w:spacing w:after="0"/>
              <w:rPr>
                <w:sz w:val="1"/>
                <w:szCs w:val="1"/>
                <w:color w:val="auto"/>
              </w:rPr>
            </w:pPr>
          </w:p>
        </w:tc>
      </w:tr>
      <w:tr>
        <w:trPr>
          <w:trHeight w:val="183"/>
        </w:trPr>
        <w:tc>
          <w:tcPr>
            <w:tcW w:w="4920" w:type="dxa"/>
            <w:vAlign w:val="bottom"/>
          </w:tcPr>
          <w:p>
            <w:pPr>
              <w:spacing w:after="0"/>
              <w:rPr>
                <w:sz w:val="15"/>
                <w:szCs w:val="15"/>
                <w:color w:val="auto"/>
              </w:rPr>
            </w:pPr>
          </w:p>
        </w:tc>
        <w:tc>
          <w:tcPr>
            <w:tcW w:w="1040" w:type="dxa"/>
            <w:vAlign w:val="bottom"/>
            <w:gridSpan w:val="2"/>
          </w:tcPr>
          <w:p>
            <w:pPr>
              <w:jc w:val="center"/>
              <w:ind w:right="80"/>
              <w:spacing w:after="0" w:line="182" w:lineRule="exact"/>
              <w:rPr>
                <w:sz w:val="20"/>
                <w:szCs w:val="20"/>
                <w:color w:val="auto"/>
              </w:rPr>
            </w:pPr>
            <w:r>
              <w:rPr>
                <w:rFonts w:ascii="Times New Roman" w:cs="Times New Roman" w:eastAsia="Times New Roman" w:hAnsi="Times New Roman"/>
                <w:sz w:val="18"/>
                <w:szCs w:val="18"/>
                <w:color w:val="auto"/>
              </w:rPr>
              <w:t>Number of</w:t>
            </w:r>
          </w:p>
        </w:tc>
        <w:tc>
          <w:tcPr>
            <w:tcW w:w="140" w:type="dxa"/>
            <w:vAlign w:val="bottom"/>
          </w:tcPr>
          <w:p>
            <w:pPr>
              <w:spacing w:after="0"/>
              <w:rPr>
                <w:sz w:val="15"/>
                <w:szCs w:val="15"/>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Amount</w:t>
            </w:r>
          </w:p>
        </w:tc>
        <w:tc>
          <w:tcPr>
            <w:tcW w:w="140" w:type="dxa"/>
            <w:vAlign w:val="bottom"/>
          </w:tcPr>
          <w:p>
            <w:pPr>
              <w:spacing w:after="0"/>
              <w:rPr>
                <w:sz w:val="15"/>
                <w:szCs w:val="15"/>
                <w:color w:val="auto"/>
              </w:rPr>
            </w:pPr>
          </w:p>
        </w:tc>
        <w:tc>
          <w:tcPr>
            <w:tcW w:w="840" w:type="dxa"/>
            <w:vAlign w:val="bottom"/>
            <w:gridSpan w:val="2"/>
          </w:tcPr>
          <w:p>
            <w:pPr>
              <w:jc w:val="center"/>
              <w:ind w:right="220"/>
              <w:spacing w:after="0" w:line="182" w:lineRule="exact"/>
              <w:rPr>
                <w:sz w:val="20"/>
                <w:szCs w:val="20"/>
                <w:color w:val="auto"/>
              </w:rPr>
            </w:pPr>
            <w:r>
              <w:rPr>
                <w:rFonts w:ascii="Times New Roman" w:cs="Times New Roman" w:eastAsia="Times New Roman" w:hAnsi="Times New Roman"/>
                <w:sz w:val="18"/>
                <w:szCs w:val="18"/>
                <w:color w:val="auto"/>
              </w:rPr>
              <w:t>Paid-In</w:t>
            </w:r>
          </w:p>
        </w:tc>
        <w:tc>
          <w:tcPr>
            <w:tcW w:w="120" w:type="dxa"/>
            <w:vAlign w:val="bottom"/>
          </w:tcPr>
          <w:p>
            <w:pPr>
              <w:spacing w:after="0"/>
              <w:rPr>
                <w:sz w:val="15"/>
                <w:szCs w:val="15"/>
                <w:color w:val="auto"/>
              </w:rPr>
            </w:pPr>
          </w:p>
        </w:tc>
        <w:tc>
          <w:tcPr>
            <w:tcW w:w="88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Retained</w:t>
            </w:r>
          </w:p>
        </w:tc>
        <w:tc>
          <w:tcPr>
            <w:tcW w:w="124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8"/>
                <w:szCs w:val="18"/>
                <w:color w:val="auto"/>
              </w:rPr>
              <w:t>Comprehensive</w:t>
            </w:r>
          </w:p>
        </w:tc>
        <w:tc>
          <w:tcPr>
            <w:tcW w:w="102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Stockholders'</w:t>
            </w: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Shares</w:t>
            </w:r>
          </w:p>
        </w:tc>
        <w:tc>
          <w:tcPr>
            <w:tcW w:w="14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Capital</w:t>
            </w:r>
          </w:p>
        </w:tc>
        <w:tc>
          <w:tcPr>
            <w:tcW w:w="120" w:type="dxa"/>
            <w:vAlign w:val="bottom"/>
          </w:tcPr>
          <w:p>
            <w:pPr>
              <w:spacing w:after="0"/>
              <w:rPr>
                <w:sz w:val="19"/>
                <w:szCs w:val="19"/>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Earnings</w:t>
            </w:r>
          </w:p>
        </w:tc>
        <w:tc>
          <w:tcPr>
            <w:tcW w:w="100" w:type="dxa"/>
            <w:vAlign w:val="bottom"/>
          </w:tcPr>
          <w:p>
            <w:pPr>
              <w:spacing w:after="0"/>
              <w:rPr>
                <w:sz w:val="19"/>
                <w:szCs w:val="19"/>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Loss</w:t>
            </w:r>
          </w:p>
        </w:tc>
        <w:tc>
          <w:tcPr>
            <w:tcW w:w="200" w:type="dxa"/>
            <w:vAlign w:val="bottom"/>
          </w:tcPr>
          <w:p>
            <w:pPr>
              <w:spacing w:after="0"/>
              <w:rPr>
                <w:sz w:val="19"/>
                <w:szCs w:val="19"/>
                <w:color w:val="auto"/>
              </w:rPr>
            </w:pPr>
          </w:p>
        </w:tc>
        <w:tc>
          <w:tcPr>
            <w:tcW w:w="8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223"/>
        </w:trPr>
        <w:tc>
          <w:tcPr>
            <w:tcW w:w="4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1, 2024</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43,361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354,158</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120,405</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(36,209)</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438,788</w:t>
            </w:r>
          </w:p>
        </w:tc>
        <w:tc>
          <w:tcPr>
            <w:tcW w:w="0" w:type="dxa"/>
            <w:vAlign w:val="bottom"/>
          </w:tcPr>
          <w:p>
            <w:pPr>
              <w:spacing w:after="0"/>
              <w:rPr>
                <w:sz w:val="1"/>
                <w:szCs w:val="1"/>
                <w:color w:val="auto"/>
              </w:rPr>
            </w:pPr>
          </w:p>
        </w:tc>
      </w:tr>
      <w:tr>
        <w:trPr>
          <w:trHeight w:val="230"/>
        </w:trPr>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Issuance of stock under employee stock purchase plan</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0" w:type="dxa"/>
            <w:vAlign w:val="bottom"/>
          </w:tcPr>
          <w:p>
            <w:pPr>
              <w:spacing w:after="0"/>
              <w:rPr>
                <w:sz w:val="1"/>
                <w:szCs w:val="1"/>
                <w:color w:val="auto"/>
              </w:rPr>
            </w:pPr>
          </w:p>
        </w:tc>
      </w:tr>
      <w:tr>
        <w:trPr>
          <w:trHeight w:val="230"/>
        </w:trPr>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Vesting of RSUs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Withholding tax payments related to net issuance of RSUs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(4,641)</w:t>
            </w:r>
          </w:p>
        </w:tc>
        <w:tc>
          <w:tcPr>
            <w:tcW w:w="0" w:type="dxa"/>
            <w:vAlign w:val="bottom"/>
          </w:tcPr>
          <w:p>
            <w:pPr>
              <w:spacing w:after="0"/>
              <w:rPr>
                <w:sz w:val="1"/>
                <w:szCs w:val="1"/>
                <w:color w:val="auto"/>
              </w:rPr>
            </w:pPr>
          </w:p>
        </w:tc>
      </w:tr>
      <w:tr>
        <w:trPr>
          <w:trHeight w:val="230"/>
        </w:trPr>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14,683</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stock repurchases and retirements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(30,183)</w:t>
            </w:r>
          </w:p>
        </w:tc>
        <w:tc>
          <w:tcPr>
            <w:tcW w:w="0" w:type="dxa"/>
            <w:vAlign w:val="bottom"/>
          </w:tcPr>
          <w:p>
            <w:pPr>
              <w:spacing w:after="0"/>
              <w:rPr>
                <w:sz w:val="1"/>
                <w:szCs w:val="1"/>
                <w:color w:val="auto"/>
              </w:rPr>
            </w:pPr>
          </w:p>
        </w:tc>
      </w:tr>
      <w:tr>
        <w:trPr>
          <w:trHeight w:val="230"/>
        </w:trPr>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10,946</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February 28, 2025</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43,022</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353,039</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115,999</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(37,621)</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431,847</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77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4"/>
          </w:tcPr>
          <w:p>
            <w:pPr>
              <w:jc w:val="right"/>
              <w:ind w:right="870"/>
              <w:spacing w:after="0"/>
              <w:rPr>
                <w:sz w:val="20"/>
                <w:szCs w:val="20"/>
                <w:color w:val="auto"/>
              </w:rPr>
            </w:pPr>
            <w:r>
              <w:rPr>
                <w:rFonts w:ascii="Times New Roman" w:cs="Times New Roman" w:eastAsia="Times New Roman" w:hAnsi="Times New Roman"/>
                <w:sz w:val="18"/>
                <w:szCs w:val="18"/>
                <w:color w:val="auto"/>
              </w:rPr>
              <w:t>Three Months Ended</w:t>
            </w:r>
          </w:p>
        </w:tc>
        <w:tc>
          <w:tcPr>
            <w:tcW w:w="0" w:type="dxa"/>
            <w:vAlign w:val="bottom"/>
          </w:tcPr>
          <w:p>
            <w:pPr>
              <w:spacing w:after="0"/>
              <w:rPr>
                <w:sz w:val="1"/>
                <w:szCs w:val="1"/>
                <w:color w:val="auto"/>
              </w:rPr>
            </w:pP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9"/>
                <w:szCs w:val="19"/>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February 28, 2026</w:t>
            </w:r>
          </w:p>
        </w:tc>
        <w:tc>
          <w:tcPr>
            <w:tcW w:w="140" w:type="dxa"/>
            <w:vAlign w:val="bottom"/>
          </w:tcPr>
          <w:p>
            <w:pPr>
              <w:spacing w:after="0"/>
              <w:rPr>
                <w:sz w:val="19"/>
                <w:szCs w:val="19"/>
                <w:color w:val="auto"/>
              </w:rPr>
            </w:pPr>
          </w:p>
        </w:tc>
        <w:tc>
          <w:tcPr>
            <w:tcW w:w="1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February 28, 2025</w:t>
            </w:r>
          </w:p>
        </w:tc>
        <w:tc>
          <w:tcPr>
            <w:tcW w:w="0" w:type="dxa"/>
            <w:vAlign w:val="bottom"/>
          </w:tcPr>
          <w:p>
            <w:pPr>
              <w:spacing w:after="0"/>
              <w:rPr>
                <w:sz w:val="1"/>
                <w:szCs w:val="1"/>
                <w:color w:val="auto"/>
              </w:rPr>
            </w:pPr>
          </w:p>
        </w:tc>
      </w:tr>
      <w:tr>
        <w:trPr>
          <w:trHeight w:val="209"/>
        </w:trPr>
        <w:tc>
          <w:tcPr>
            <w:tcW w:w="7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14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10,946</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income to net cash flows provided by operating activities:</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Depreciation and amortization of property and equipment</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Amortization of acquired intangibles and other</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36,581</w:t>
            </w:r>
          </w:p>
        </w:tc>
        <w:tc>
          <w:tcPr>
            <w:tcW w:w="0" w:type="dxa"/>
            <w:vAlign w:val="bottom"/>
          </w:tcPr>
          <w:p>
            <w:pPr>
              <w:spacing w:after="0"/>
              <w:rPr>
                <w:sz w:val="1"/>
                <w:szCs w:val="1"/>
                <w:color w:val="auto"/>
              </w:rPr>
            </w:pPr>
          </w:p>
        </w:tc>
      </w:tr>
      <w:tr>
        <w:trPr>
          <w:trHeight w:val="229"/>
        </w:trPr>
        <w:tc>
          <w:tcPr>
            <w:tcW w:w="7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Amortization of debt discount and issuance costs</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14,683</w:t>
            </w:r>
          </w:p>
        </w:tc>
        <w:tc>
          <w:tcPr>
            <w:tcW w:w="0" w:type="dxa"/>
            <w:vAlign w:val="bottom"/>
          </w:tcPr>
          <w:p>
            <w:pPr>
              <w:spacing w:after="0"/>
              <w:rPr>
                <w:sz w:val="1"/>
                <w:szCs w:val="1"/>
                <w:color w:val="auto"/>
              </w:rPr>
            </w:pPr>
          </w:p>
        </w:tc>
      </w:tr>
      <w:tr>
        <w:trPr>
          <w:trHeight w:val="230"/>
        </w:trPr>
        <w:tc>
          <w:tcPr>
            <w:tcW w:w="7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Non-cash lease expense</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3,443</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0" w:type="dxa"/>
            <w:vAlign w:val="bottom"/>
          </w:tcPr>
          <w:p>
            <w:pPr>
              <w:spacing w:after="0"/>
              <w:rPr>
                <w:sz w:val="1"/>
                <w:szCs w:val="1"/>
                <w:color w:val="auto"/>
              </w:rPr>
            </w:pPr>
          </w:p>
        </w:tc>
      </w:tr>
      <w:tr>
        <w:trPr>
          <w:trHeight w:val="230"/>
        </w:trPr>
        <w:tc>
          <w:tcPr>
            <w:tcW w:w="7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Credit losses and other sales allowances</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33,008</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0" w:type="dxa"/>
            <w:vAlign w:val="bottom"/>
          </w:tcPr>
          <w:p>
            <w:pPr>
              <w:spacing w:after="0"/>
              <w:rPr>
                <w:sz w:val="1"/>
                <w:szCs w:val="1"/>
                <w:color w:val="auto"/>
              </w:rPr>
            </w:pPr>
          </w:p>
        </w:tc>
      </w:tr>
      <w:tr>
        <w:trPr>
          <w:trHeight w:val="229"/>
        </w:trPr>
        <w:tc>
          <w:tcPr>
            <w:tcW w:w="77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(22,821)</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Lease liabilities</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0" w:type="dxa"/>
            <w:vAlign w:val="bottom"/>
          </w:tcPr>
          <w:p>
            <w:pPr>
              <w:spacing w:after="0"/>
              <w:rPr>
                <w:sz w:val="1"/>
                <w:szCs w:val="1"/>
                <w:color w:val="auto"/>
              </w:rPr>
            </w:pPr>
          </w:p>
        </w:tc>
      </w:tr>
      <w:tr>
        <w:trPr>
          <w:trHeight w:val="230"/>
        </w:trPr>
        <w:tc>
          <w:tcPr>
            <w:tcW w:w="77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Income taxes payable</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(3,640)</w:t>
            </w:r>
          </w:p>
        </w:tc>
        <w:tc>
          <w:tcPr>
            <w:tcW w:w="0" w:type="dxa"/>
            <w:vAlign w:val="bottom"/>
          </w:tcPr>
          <w:p>
            <w:pPr>
              <w:spacing w:after="0"/>
              <w:rPr>
                <w:sz w:val="1"/>
                <w:szCs w:val="1"/>
                <w:color w:val="auto"/>
              </w:rPr>
            </w:pPr>
          </w:p>
        </w:tc>
      </w:tr>
      <w:tr>
        <w:trPr>
          <w:trHeight w:val="223"/>
        </w:trPr>
        <w:tc>
          <w:tcPr>
            <w:tcW w:w="7780" w:type="dxa"/>
            <w:vAlign w:val="bottom"/>
            <w:tcBorders>
              <w:bottom w:val="single" w:sz="8" w:color="CCEEFF"/>
            </w:tcBorders>
          </w:tcPr>
          <w:p>
            <w:pPr>
              <w:ind w:left="1440"/>
              <w:spacing w:after="0"/>
              <w:rPr>
                <w:sz w:val="20"/>
                <w:szCs w:val="20"/>
                <w:color w:val="auto"/>
              </w:rPr>
            </w:pPr>
            <w:r>
              <w:rPr>
                <w:rFonts w:ascii="Times New Roman" w:cs="Times New Roman" w:eastAsia="Times New Roman" w:hAnsi="Times New Roman"/>
                <w:sz w:val="18"/>
                <w:szCs w:val="18"/>
                <w:color w:val="auto"/>
              </w:rPr>
              <w:t>Net cash flows provided by operating activities</w:t>
            </w: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98,626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68,947</w:t>
            </w:r>
          </w:p>
        </w:tc>
        <w:tc>
          <w:tcPr>
            <w:tcW w:w="0" w:type="dxa"/>
            <w:vAlign w:val="bottom"/>
          </w:tcPr>
          <w:p>
            <w:pPr>
              <w:spacing w:after="0"/>
              <w:rPr>
                <w:sz w:val="1"/>
                <w:szCs w:val="1"/>
                <w:color w:val="auto"/>
              </w:rPr>
            </w:pPr>
          </w:p>
        </w:tc>
      </w:tr>
      <w:tr>
        <w:trPr>
          <w:trHeight w:val="20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Payments for acquisitions</w:t>
            </w:r>
          </w:p>
        </w:tc>
        <w:tc>
          <w:tcPr>
            <w:tcW w:w="14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0" w:type="dxa"/>
            <w:vAlign w:val="bottom"/>
          </w:tcPr>
          <w:p>
            <w:pPr>
              <w:spacing w:after="0"/>
              <w:rPr>
                <w:sz w:val="1"/>
                <w:szCs w:val="1"/>
                <w:color w:val="auto"/>
              </w:rPr>
            </w:pPr>
          </w:p>
        </w:tc>
      </w:tr>
      <w:tr>
        <w:trPr>
          <w:trHeight w:val="223"/>
        </w:trPr>
        <w:tc>
          <w:tcPr>
            <w:tcW w:w="7780" w:type="dxa"/>
            <w:vAlign w:val="bottom"/>
            <w:tcBorders>
              <w:bottom w:val="single" w:sz="8" w:color="CCEEFF"/>
            </w:tcBorders>
          </w:tcPr>
          <w:p>
            <w:pPr>
              <w:ind w:left="1440"/>
              <w:spacing w:after="0"/>
              <w:rPr>
                <w:sz w:val="20"/>
                <w:szCs w:val="20"/>
                <w:color w:val="auto"/>
              </w:rPr>
            </w:pPr>
            <w:r>
              <w:rPr>
                <w:rFonts w:ascii="Times New Roman" w:cs="Times New Roman" w:eastAsia="Times New Roman" w:hAnsi="Times New Roman"/>
                <w:sz w:val="18"/>
                <w:szCs w:val="18"/>
                <w:color w:val="auto"/>
              </w:rPr>
              <w:t>Net cash flows used in investing activities</w:t>
            </w:r>
          </w:p>
        </w:tc>
        <w:tc>
          <w:tcPr>
            <w:tcW w:w="14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equity plans</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6,238</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Payments for taxes related to net share settlements of equity awards</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(4,641)</w:t>
            </w:r>
          </w:p>
        </w:tc>
        <w:tc>
          <w:tcPr>
            <w:tcW w:w="0" w:type="dxa"/>
            <w:vAlign w:val="bottom"/>
          </w:tcPr>
          <w:p>
            <w:pPr>
              <w:spacing w:after="0"/>
              <w:rPr>
                <w:sz w:val="1"/>
                <w:szCs w:val="1"/>
                <w:color w:val="auto"/>
              </w:rPr>
            </w:pPr>
          </w:p>
        </w:tc>
      </w:tr>
      <w:tr>
        <w:trPr>
          <w:trHeight w:val="230"/>
        </w:trPr>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(30,108)</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Dividend equivalent payments to stockholders</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29"/>
        </w:trPr>
        <w:tc>
          <w:tcPr>
            <w:tcW w:w="77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Repayment of revolving line of credit</w:t>
            </w: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Net cash flows used in financing activities</w:t>
            </w:r>
          </w:p>
        </w:tc>
        <w:tc>
          <w:tcPr>
            <w:tcW w:w="1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(78,877)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(58,870)</w:t>
            </w:r>
          </w:p>
        </w:tc>
        <w:tc>
          <w:tcPr>
            <w:tcW w:w="0" w:type="dxa"/>
            <w:vAlign w:val="bottom"/>
          </w:tcPr>
          <w:p>
            <w:pPr>
              <w:spacing w:after="0"/>
              <w:rPr>
                <w:sz w:val="1"/>
                <w:szCs w:val="1"/>
                <w:color w:val="auto"/>
              </w:rPr>
            </w:pPr>
          </w:p>
        </w:tc>
      </w:tr>
      <w:tr>
        <w:trPr>
          <w:trHeight w:val="223"/>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6,084</w:t>
            </w:r>
          </w:p>
        </w:tc>
        <w:tc>
          <w:tcPr>
            <w:tcW w:w="0" w:type="dxa"/>
            <w:vAlign w:val="bottom"/>
          </w:tcPr>
          <w:p>
            <w:pPr>
              <w:spacing w:after="0"/>
              <w:rPr>
                <w:sz w:val="1"/>
                <w:szCs w:val="1"/>
                <w:color w:val="auto"/>
              </w:rPr>
            </w:pPr>
          </w:p>
        </w:tc>
      </w:tr>
      <w:tr>
        <w:trPr>
          <w:trHeight w:val="223"/>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94,807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118,077</w:t>
            </w: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124,161</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558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7"/>
        </w:trPr>
        <w:tc>
          <w:tcPr>
            <w:tcW w:w="77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7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continued</w:t>
            </w: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7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4"/>
          </w:tcPr>
          <w:p>
            <w:pPr>
              <w:jc w:val="right"/>
              <w:ind w:right="870"/>
              <w:spacing w:after="0"/>
              <w:rPr>
                <w:sz w:val="20"/>
                <w:szCs w:val="20"/>
                <w:color w:val="auto"/>
              </w:rPr>
            </w:pPr>
            <w:r>
              <w:rPr>
                <w:rFonts w:ascii="Times New Roman" w:cs="Times New Roman" w:eastAsia="Times New Roman" w:hAnsi="Times New Roman"/>
                <w:sz w:val="18"/>
                <w:szCs w:val="18"/>
                <w:color w:val="auto"/>
              </w:rPr>
              <w:t>Three Months Ended</w:t>
            </w:r>
          </w:p>
        </w:tc>
        <w:tc>
          <w:tcPr>
            <w:tcW w:w="0" w:type="dxa"/>
            <w:vAlign w:val="bottom"/>
          </w:tcPr>
          <w:p>
            <w:pPr>
              <w:spacing w:after="0"/>
              <w:rPr>
                <w:sz w:val="1"/>
                <w:szCs w:val="1"/>
                <w:color w:val="auto"/>
              </w:rPr>
            </w:pPr>
          </w:p>
        </w:tc>
      </w:tr>
      <w:tr>
        <w:trPr>
          <w:trHeight w:val="223"/>
        </w:trPr>
        <w:tc>
          <w:tcPr>
            <w:tcW w:w="77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February 28, 2026</w:t>
            </w:r>
          </w:p>
        </w:tc>
        <w:tc>
          <w:tcPr>
            <w:tcW w:w="140" w:type="dxa"/>
            <w:vAlign w:val="bottom"/>
          </w:tcPr>
          <w:p>
            <w:pPr>
              <w:spacing w:after="0"/>
              <w:rPr>
                <w:sz w:val="19"/>
                <w:szCs w:val="19"/>
                <w:color w:val="auto"/>
              </w:rPr>
            </w:pPr>
          </w:p>
        </w:tc>
        <w:tc>
          <w:tcPr>
            <w:tcW w:w="1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February 28, 2025</w:t>
            </w:r>
          </w:p>
        </w:tc>
        <w:tc>
          <w:tcPr>
            <w:tcW w:w="0" w:type="dxa"/>
            <w:vAlign w:val="bottom"/>
          </w:tcPr>
          <w:p>
            <w:pPr>
              <w:spacing w:after="0"/>
              <w:rPr>
                <w:sz w:val="1"/>
                <w:szCs w:val="1"/>
                <w:color w:val="auto"/>
              </w:rPr>
            </w:pPr>
          </w:p>
        </w:tc>
      </w:tr>
      <w:tr>
        <w:trPr>
          <w:trHeight w:val="210"/>
        </w:trPr>
        <w:tc>
          <w:tcPr>
            <w:tcW w:w="7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disclosure:</w:t>
            </w:r>
          </w:p>
        </w:tc>
        <w:tc>
          <w:tcPr>
            <w:tcW w:w="14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paid for income taxes, net of refunds of $824 and $778 in 2026 and 2025, respectively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3,121</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for interest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12,121</w:t>
            </w:r>
          </w:p>
        </w:tc>
        <w:tc>
          <w:tcPr>
            <w:tcW w:w="0" w:type="dxa"/>
            <w:vAlign w:val="bottom"/>
          </w:tcPr>
          <w:p>
            <w:pPr>
              <w:spacing w:after="0"/>
              <w:rPr>
                <w:sz w:val="1"/>
                <w:szCs w:val="1"/>
                <w:color w:val="auto"/>
              </w:rPr>
            </w:pPr>
          </w:p>
        </w:tc>
      </w:tr>
      <w:tr>
        <w:trPr>
          <w:trHeight w:val="229"/>
        </w:trPr>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780" w:type="dxa"/>
            <w:vAlign w:val="bottom"/>
            <w:shd w:val="clear" w:color="auto" w:fill="CCEEFF"/>
          </w:tcPr>
          <w:p>
            <w:pPr>
              <w:ind w:left="560"/>
              <w:spacing w:after="0" w:line="176" w:lineRule="exact"/>
              <w:rPr>
                <w:sz w:val="20"/>
                <w:szCs w:val="20"/>
                <w:color w:val="auto"/>
              </w:rPr>
            </w:pPr>
            <w:r>
              <w:rPr>
                <w:rFonts w:ascii="Times New Roman" w:cs="Times New Roman" w:eastAsia="Times New Roman" w:hAnsi="Times New Roman"/>
                <w:sz w:val="18"/>
                <w:szCs w:val="18"/>
                <w:color w:val="auto"/>
              </w:rPr>
              <w:t>Total fair value of restricted stock awards, restricted stock units, and deferred stock units on date</w:t>
            </w:r>
          </w:p>
        </w:tc>
        <w:tc>
          <w:tcPr>
            <w:tcW w:w="1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7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vested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10,677</w:t>
            </w:r>
          </w:p>
        </w:tc>
        <w:tc>
          <w:tcPr>
            <w:tcW w:w="0" w:type="dxa"/>
            <w:vAlign w:val="bottom"/>
          </w:tcPr>
          <w:p>
            <w:pPr>
              <w:spacing w:after="0"/>
              <w:rPr>
                <w:sz w:val="1"/>
                <w:szCs w:val="1"/>
                <w:color w:val="auto"/>
              </w:rPr>
            </w:pPr>
          </w:p>
        </w:tc>
      </w:tr>
      <w:tr>
        <w:trPr>
          <w:trHeight w:val="229"/>
        </w:trPr>
        <w:tc>
          <w:tcPr>
            <w:tcW w:w="77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Operating lease liabilities arising from obtaining right-of-use lease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Contingent consideration payable in Nuclia acquisition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Summary of Significant Accounting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5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condensed consolidated financial statements of Progress Software Corporation ("Progress," the "Company," "we," "us," or "our") included herein are prepared in accordance with accounting principles generally accepted in the United States of America ("GAAP") and pursuant to the rules and regulations of the U.S. Securities and Exchange Commission ("SEC"). Certain information in the footnote disclosures of the financial statements has been condensed or omitted where it substantially duplicated information provided in the Company’s latest audited consolidated financial statements, in accordance with the rules and regulations of the SEC. In our opinion, the financial statements include all adjustments of a normal recurring nature necessary for fair financial statement presentation. Interim results are not necessarily indicative of the results to be expected for the full year ending November 30, 2026. We have made estimates and assumptions that affect the amounts reported and disclosed in the financial statements and accompanying footnote disclosures. Actual results could differ significantly from these estimates.</w:t>
      </w:r>
    </w:p>
    <w:p>
      <w:pPr>
        <w:spacing w:after="0" w:line="21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should be read in conjunction with the Company’s audited consolidated financial statements and footnote disclosures included in our Annual Report on Form 10-K for the fiscal year ended November 30, 2025, as filed with the SEC on January 20, 2026 (our "2025 Annual Report").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2023-09")</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ASU 2023-09 is intended to improve the transparency and decision usefulness of income tax disclosures, primarily related to the rate reconciliation and income taxes paid information. ASU 2023-09 is effective for us beginning with the annual period ending November 30, 2026, allowing for adoption on a prospective basis or a retrospective option. The adoption of this standard only impacts disclosures and is not expected to have a material impact on our consolidated financial statements.</w:t>
      </w:r>
    </w:p>
    <w:p>
      <w:pPr>
        <w:spacing w:after="0" w:line="15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Disaggregation of Income Statement Expenses </w:t>
      </w:r>
      <w:r>
        <w:rPr>
          <w:rFonts w:ascii="Times New Roman" w:cs="Times New Roman" w:eastAsia="Times New Roman" w:hAnsi="Times New Roman"/>
          <w:sz w:val="18"/>
          <w:szCs w:val="18"/>
          <w:color w:val="auto"/>
        </w:rPr>
        <w:t>("ASU 2024-03"), and in January 2025, the FASB issued ASU No. 2025-01,</w:t>
      </w:r>
      <w:r>
        <w:rPr>
          <w:rFonts w:ascii="Times New Roman" w:cs="Times New Roman" w:eastAsia="Times New Roman" w:hAnsi="Times New Roman"/>
          <w:sz w:val="18"/>
          <w:szCs w:val="18"/>
          <w:i w:val="1"/>
          <w:iCs w:val="1"/>
          <w:color w:val="auto"/>
        </w:rPr>
        <w:t xml:space="preserve"> Income Statement - Reporting Comprehensive Income - Expense Disaggregation Disclosures (Subtopic 220-40): Clarifying the Effective Date </w:t>
      </w:r>
      <w:r>
        <w:rPr>
          <w:rFonts w:ascii="Times New Roman" w:cs="Times New Roman" w:eastAsia="Times New Roman" w:hAnsi="Times New Roman"/>
          <w:sz w:val="18"/>
          <w:szCs w:val="18"/>
          <w:color w:val="auto"/>
        </w:rPr>
        <w:t>("ASU 2025-01").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2024-03 requires additional disclosure of the nature of expenses included in the income statement as well as disclosures about specific types of expenses included in the expense captions presented in the income statement. ASU 2024-03, as clarified by ASU 2025-01, is effective for us for our annual reporting for fiscal 2028 and for interim period reporting beginning in fiscal 2029 on a prospective basis. Both early adoption and retrospective application are permitted. We are currently evaluating the impact that the adoption of these standards will have on our consolidated financial statements and disclosures.</w:t>
      </w:r>
    </w:p>
    <w:p>
      <w:pPr>
        <w:spacing w:after="0" w:line="14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In September 2025, the FASB issued ASU No. 2025-06, </w:t>
      </w:r>
      <w:r>
        <w:rPr>
          <w:rFonts w:ascii="Times New Roman" w:cs="Times New Roman" w:eastAsia="Times New Roman" w:hAnsi="Times New Roman"/>
          <w:sz w:val="18"/>
          <w:szCs w:val="18"/>
          <w:i w:val="1"/>
          <w:iCs w:val="1"/>
          <w:color w:val="auto"/>
        </w:rPr>
        <w:t>Intangibles - Goodwill and Other - Internal-Use Software (Subtopic 350-40): 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Improvements to the Accounting for Internal-Use Software </w:t>
      </w:r>
      <w:r>
        <w:rPr>
          <w:rFonts w:ascii="Times New Roman" w:cs="Times New Roman" w:eastAsia="Times New Roman" w:hAnsi="Times New Roman"/>
          <w:sz w:val="18"/>
          <w:szCs w:val="18"/>
          <w:color w:val="auto"/>
        </w:rPr>
        <w:t>("ASU 2025-06"), which modernizes the accounting for internal-use software. ASU 2025-06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removes all references to software development stages and requires capitalization of software costs when management has committed to the software project and it is probable the software will be completed and perform its intended use. ASU 2025-06 will be effective for us in our first quarter of 2029, and may be adopted on a prospective basis, full retrospective basis, or modified prospective basis with a cumulative-effect adjustment through retained earnings. Early adoption is permitted. We are currently evaluating the timing, method of adoption, and impact of ASU 2025-06 on our consolidated financial statements and disclosures.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Note 2: Fair Value Measurements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and Liabilities Measured at Fair Value on a Recurring Basis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fair value measurements within the fair value hierarchy of our financial assets and liabilities at February 28, 2026:</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color w:val="auto"/>
                <w:w w:val="99"/>
              </w:rPr>
              <w:t>Fair Value Measurements Using</w:t>
            </w:r>
          </w:p>
        </w:tc>
        <w:tc>
          <w:tcPr>
            <w:tcW w:w="1160" w:type="dxa"/>
            <w:vAlign w:val="bottom"/>
            <w:tcBorders>
              <w:bottom w:val="single" w:sz="8" w:color="auto"/>
            </w:tcBorders>
          </w:tcPr>
          <w:p>
            <w:pPr>
              <w:spacing w:after="0"/>
              <w:rPr>
                <w:sz w:val="20"/>
                <w:szCs w:val="20"/>
                <w:color w:val="auto"/>
              </w:rPr>
            </w:pPr>
          </w:p>
        </w:tc>
      </w:tr>
      <w:tr>
        <w:trPr>
          <w:trHeight w:val="223"/>
        </w:trPr>
        <w:tc>
          <w:tcPr>
            <w:tcW w:w="4700" w:type="dxa"/>
            <w:vAlign w:val="bottom"/>
          </w:tcPr>
          <w:p>
            <w:pPr>
              <w:ind w:left="6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9"/>
                <w:szCs w:val="19"/>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Fair Value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1</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Level 2</w:t>
            </w:r>
          </w:p>
        </w:tc>
        <w:tc>
          <w:tcPr>
            <w:tcW w:w="400" w:type="dxa"/>
            <w:vAlign w:val="bottom"/>
          </w:tcPr>
          <w:p>
            <w:pPr>
              <w:spacing w:after="0"/>
              <w:rPr>
                <w:sz w:val="19"/>
                <w:szCs w:val="19"/>
                <w:color w:val="auto"/>
              </w:rPr>
            </w:pPr>
          </w:p>
        </w:tc>
        <w:tc>
          <w:tcPr>
            <w:tcW w:w="1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Level 3</w:t>
            </w:r>
          </w:p>
        </w:tc>
      </w:tr>
      <w:tr>
        <w:trPr>
          <w:trHeight w:val="209"/>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Pr>
          <w:p>
            <w:pPr>
              <w:spacing w:after="0"/>
              <w:rPr>
                <w:sz w:val="19"/>
                <w:szCs w:val="19"/>
                <w:color w:val="auto"/>
              </w:rPr>
            </w:pPr>
          </w:p>
        </w:tc>
        <w:tc>
          <w:tcPr>
            <w:tcW w:w="11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Liabilities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derivatives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1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fair value measurements within the fair value hierarchy of our financial assets and liabilities at November 30, 2025:</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color w:val="auto"/>
                <w:w w:val="99"/>
              </w:rPr>
              <w:t>Fair Value Measurements Using</w:t>
            </w:r>
          </w:p>
        </w:tc>
        <w:tc>
          <w:tcPr>
            <w:tcW w:w="1160" w:type="dxa"/>
            <w:vAlign w:val="bottom"/>
            <w:tcBorders>
              <w:bottom w:val="single" w:sz="8" w:color="auto"/>
            </w:tcBorders>
          </w:tcPr>
          <w:p>
            <w:pPr>
              <w:spacing w:after="0"/>
              <w:rPr>
                <w:sz w:val="20"/>
                <w:szCs w:val="20"/>
                <w:color w:val="auto"/>
              </w:rPr>
            </w:pPr>
          </w:p>
        </w:tc>
      </w:tr>
      <w:tr>
        <w:trPr>
          <w:trHeight w:val="223"/>
        </w:trPr>
        <w:tc>
          <w:tcPr>
            <w:tcW w:w="4700" w:type="dxa"/>
            <w:vAlign w:val="bottom"/>
          </w:tcPr>
          <w:p>
            <w:pPr>
              <w:ind w:left="6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9"/>
                <w:szCs w:val="19"/>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Fair Value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1</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Level 2</w:t>
            </w:r>
          </w:p>
        </w:tc>
        <w:tc>
          <w:tcPr>
            <w:tcW w:w="400" w:type="dxa"/>
            <w:vAlign w:val="bottom"/>
          </w:tcPr>
          <w:p>
            <w:pPr>
              <w:spacing w:after="0"/>
              <w:rPr>
                <w:sz w:val="19"/>
                <w:szCs w:val="19"/>
                <w:color w:val="auto"/>
              </w:rPr>
            </w:pPr>
          </w:p>
        </w:tc>
        <w:tc>
          <w:tcPr>
            <w:tcW w:w="1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Level 3</w:t>
            </w:r>
          </w:p>
        </w:tc>
      </w:tr>
      <w:tr>
        <w:trPr>
          <w:trHeight w:val="209"/>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Pr>
          <w:p>
            <w:pPr>
              <w:spacing w:after="0"/>
              <w:rPr>
                <w:sz w:val="19"/>
                <w:szCs w:val="19"/>
                <w:color w:val="auto"/>
              </w:rPr>
            </w:pPr>
          </w:p>
        </w:tc>
        <w:tc>
          <w:tcPr>
            <w:tcW w:w="11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Liabilities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derivatives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9"/>
                <w:szCs w:val="19"/>
                <w:color w:val="auto"/>
              </w:rPr>
            </w:pPr>
          </w:p>
        </w:tc>
        <w:tc>
          <w:tcPr>
            <w:tcW w:w="11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w w:val="99"/>
              </w:rPr>
              <w:t>(95)</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r>
    </w:tbl>
    <w:p>
      <w:pPr>
        <w:spacing w:after="0" w:line="31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When developing fair value estimates, we maximize the use of observable inputs and minimize the use of unobservable inputs. When available, we use quoted market prices to measure fair value. The valuation technique used to measure fair value for our Level 1 and Level 2 assets is a market approach, using prices and other relevant information generated by market transactions involving identical or comparable assets. If market prices are not available, the fair value measurement is based on models that use primarily market-based parameters including yield curves, volatilities, credit ratings, and currency rates. In certain cases, where market rate assumptions are not available, we are required to make judgments about assumptions market participants would use to estimate the fair value of a financial instrument.</w:t>
      </w:r>
    </w:p>
    <w:p>
      <w:pPr>
        <w:spacing w:after="0" w:line="21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We classify contingent consideration related to the Nuclia acquisition, which occurred in the third fiscal quarter of 2025, within Level 3 of the fair value hierarchy because the fair value is derived using significant unobservable inputs. We utilized the Monte Carlo simulation method to estimate the fair value of the contingent liability as of the acquisition date, and we have updated the fair value using an income approach in subsequent periods. The fair value of the contingent consideration, which is primarily dependent on the revenue of the acquired business in fiscal 2026, is remeasured each reporting period, with adjustments to fair value recorded as acquisition-related expenses in our condensed consolidated statement of operations. See Note 4,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Combinations </w:t>
      </w:r>
      <w:r>
        <w:rPr>
          <w:rFonts w:ascii="Times New Roman" w:cs="Times New Roman" w:eastAsia="Times New Roman" w:hAnsi="Times New Roman"/>
          <w:sz w:val="18"/>
          <w:szCs w:val="18"/>
          <w:color w:val="auto"/>
        </w:rPr>
        <w:t>for additional details.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activity for our contingent consideration obligation measured at fair value using Level 3 inputs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2026:</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
        </w:trPr>
        <w:tc>
          <w:tcPr>
            <w:tcW w:w="9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1, 2025</w:t>
            </w: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r>
      <w:tr>
        <w:trPr>
          <w:trHeight w:val="230"/>
        </w:trPr>
        <w:tc>
          <w:tcPr>
            <w:tcW w:w="9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Changes in fair value of contingent consideration</w:t>
            </w: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9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February 28, 2026</w:t>
            </w: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levels of the fair value measurement hierarchy during the three months ended February 28, 2026 and 2025.</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Assets and Liabilities Not Carried at Fair Value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the Convertible Senior Notes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fair value and carrying value of our Convertible Senior Notes due 2026 and 2030 (together referred to as "the Notes"):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00" w:type="dxa"/>
            <w:vAlign w:val="bottom"/>
            <w:gridSpan w:val="5"/>
          </w:tcPr>
          <w:p>
            <w:pPr>
              <w:ind w:left="920"/>
              <w:spacing w:after="0"/>
              <w:rPr>
                <w:sz w:val="20"/>
                <w:szCs w:val="20"/>
                <w:color w:val="auto"/>
              </w:rPr>
            </w:pPr>
            <w:r>
              <w:rPr>
                <w:rFonts w:ascii="Times New Roman" w:cs="Times New Roman" w:eastAsia="Times New Roman" w:hAnsi="Times New Roman"/>
                <w:sz w:val="18"/>
                <w:szCs w:val="18"/>
                <w:color w:val="auto"/>
              </w:rPr>
              <w:t>February 28, 2026</w:t>
            </w:r>
          </w:p>
        </w:tc>
        <w:tc>
          <w:tcPr>
            <w:tcW w:w="220" w:type="dxa"/>
            <w:vAlign w:val="bottom"/>
          </w:tcPr>
          <w:p>
            <w:pPr>
              <w:spacing w:after="0"/>
              <w:rPr>
                <w:sz w:val="20"/>
                <w:szCs w:val="20"/>
                <w:color w:val="auto"/>
              </w:rPr>
            </w:pPr>
          </w:p>
        </w:tc>
        <w:tc>
          <w:tcPr>
            <w:tcW w:w="3400" w:type="dxa"/>
            <w:vAlign w:val="bottom"/>
            <w:gridSpan w:val="4"/>
          </w:tcPr>
          <w:p>
            <w:pPr>
              <w:ind w:left="880"/>
              <w:spacing w:after="0"/>
              <w:rPr>
                <w:sz w:val="20"/>
                <w:szCs w:val="20"/>
                <w:color w:val="auto"/>
              </w:rPr>
            </w:pPr>
            <w:r>
              <w:rPr>
                <w:rFonts w:ascii="Times New Roman" w:cs="Times New Roman" w:eastAsia="Times New Roman" w:hAnsi="Times New Roman"/>
                <w:sz w:val="18"/>
                <w:szCs w:val="18"/>
                <w:color w:val="auto"/>
              </w:rPr>
              <w:t>November 30, 2025</w:t>
            </w:r>
          </w:p>
        </w:tc>
      </w:tr>
      <w:tr>
        <w:trPr>
          <w:trHeight w:val="223"/>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Carrying Value</w:t>
            </w:r>
          </w:p>
        </w:tc>
        <w:tc>
          <w:tcPr>
            <w:tcW w:w="3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Fair Value</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Carrying Value</w:t>
            </w:r>
          </w:p>
        </w:tc>
        <w:tc>
          <w:tcPr>
            <w:tcW w:w="3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Fair Value</w:t>
            </w:r>
          </w:p>
        </w:tc>
      </w:tr>
      <w:tr>
        <w:trPr>
          <w:trHeight w:val="223"/>
        </w:trPr>
        <w:tc>
          <w:tcPr>
            <w:tcW w:w="390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Convertible senior notes due 2026</w:t>
            </w:r>
            <w:r>
              <w:rPr>
                <w:rFonts w:ascii="Times New Roman" w:cs="Times New Roman" w:eastAsia="Times New Roman" w:hAnsi="Times New Roman"/>
                <w:sz w:val="23"/>
                <w:szCs w:val="23"/>
                <w:color w:val="auto"/>
                <w:vertAlign w:val="superscript"/>
              </w:rPr>
              <w:t>(1)</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359,723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358,020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359,163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357,300</w:t>
            </w:r>
          </w:p>
        </w:tc>
      </w:tr>
      <w:tr>
        <w:trPr>
          <w:trHeight w:val="229"/>
        </w:trPr>
        <w:tc>
          <w:tcPr>
            <w:tcW w:w="39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Convertible senior notes due 2030</w:t>
            </w:r>
            <w:r>
              <w:rPr>
                <w:rFonts w:ascii="Times New Roman" w:cs="Times New Roman" w:eastAsia="Times New Roman" w:hAnsi="Times New Roman"/>
                <w:sz w:val="23"/>
                <w:szCs w:val="23"/>
                <w:color w:val="auto"/>
                <w:vertAlign w:val="superscript"/>
              </w:rPr>
              <w:t>(2)</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441,664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452,489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441,186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452,295</w:t>
            </w:r>
          </w:p>
        </w:tc>
      </w:tr>
      <w:tr>
        <w:trPr>
          <w:trHeight w:val="248"/>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801,387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810,509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800,349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809,595</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right="40" w:firstLine="8"/>
        <w:spacing w:after="0" w:line="248" w:lineRule="auto"/>
        <w:tabs>
          <w:tab w:leader="none" w:pos="145" w:val="left"/>
        </w:tabs>
        <w:numPr>
          <w:ilvl w:val="0"/>
          <w:numId w:val="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carrying value of the convertible senior notes due 2026 (the "2026 Notes"), is reflected net of $0.3 million and $0.8 million of unamortized debt issuance costs as of February 28, 2026 and November 30, 2025, respectively.</w:t>
      </w:r>
    </w:p>
    <w:p>
      <w:pPr>
        <w:spacing w:after="0" w:line="21" w:lineRule="exact"/>
        <w:rPr>
          <w:rFonts w:ascii="Times New Roman" w:cs="Times New Roman" w:eastAsia="Times New Roman" w:hAnsi="Times New Roman"/>
          <w:sz w:val="17"/>
          <w:szCs w:val="17"/>
          <w:color w:val="auto"/>
          <w:vertAlign w:val="superscript"/>
        </w:rPr>
      </w:pPr>
    </w:p>
    <w:p>
      <w:pPr>
        <w:ind w:right="40" w:firstLine="8"/>
        <w:spacing w:after="0" w:line="302" w:lineRule="auto"/>
        <w:tabs>
          <w:tab w:leader="none" w:pos="145" w:val="left"/>
        </w:tabs>
        <w:numPr>
          <w:ilvl w:val="0"/>
          <w:numId w:val="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carrying value of the convertible senior notes due 2030 (the "2030 Notes"), is reflected net of $8.3 million and $8.8 million of unamortized debt issuance costs as of February 28, 2026 and November 30, 2025, respectively.</w:t>
      </w:r>
    </w:p>
    <w:p>
      <w:pPr>
        <w:spacing w:after="0" w:line="193"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fair value of the Notes is based on quoted prices in an over-the-counter market on the last trading day of the reporting period and classified within Level 2 in the fair value hierarchy.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Other Financial Assets and Liabilities</w:t>
      </w:r>
    </w:p>
    <w:p>
      <w:pPr>
        <w:spacing w:after="0" w:line="254"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carrying amounts of other financial assets and liabilities including cash and cash equivalents, accounts receivable, unbilled accounts receivable, accounts payable, and accrued liabilities approximate their respective fair values due to their immediate or short-term maturities.</w:t>
      </w:r>
    </w:p>
    <w:p>
      <w:pPr>
        <w:spacing w:after="0" w:line="18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Borrowings under our revolving credit facility are recorded at carrying value, which approximates fair value due to the frequent nature of such borrowings and repayments. The Company considers this a Level 2 input.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Intangible Assets and Goodwill</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are comprised of the following significant classes: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February 28, 2026</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rPr>
              <w:t>November 30, 2025</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r>
      <w:tr>
        <w:trPr>
          <w:trHeight w:val="169"/>
        </w:trPr>
        <w:tc>
          <w:tcPr>
            <w:tcW w:w="3140" w:type="dxa"/>
            <w:vAlign w:val="bottom"/>
          </w:tcPr>
          <w:p>
            <w:pPr>
              <w:spacing w:after="0"/>
              <w:rPr>
                <w:sz w:val="14"/>
                <w:szCs w:val="14"/>
                <w:color w:val="auto"/>
              </w:rPr>
            </w:pPr>
          </w:p>
        </w:tc>
        <w:tc>
          <w:tcPr>
            <w:tcW w:w="126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8"/>
                <w:szCs w:val="18"/>
                <w:color w:val="auto"/>
              </w:rPr>
              <w:t>Gross Carrying</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color w:val="auto"/>
                <w:w w:val="99"/>
              </w:rPr>
              <w:t>Accumulated</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8"/>
                <w:szCs w:val="18"/>
                <w:color w:val="auto"/>
              </w:rPr>
              <w:t>Gross Carrying</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color w:val="auto"/>
                <w:w w:val="99"/>
              </w:rPr>
              <w:t>Accumulated</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43"/>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21"/>
                <w:szCs w:val="21"/>
                <w:color w:val="auto"/>
              </w:rPr>
            </w:pPr>
          </w:p>
        </w:tc>
        <w:tc>
          <w:tcPr>
            <w:tcW w:w="10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Amortization</w:t>
            </w:r>
          </w:p>
        </w:tc>
        <w:tc>
          <w:tcPr>
            <w:tcW w:w="13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Net Book Value</w:t>
            </w:r>
          </w:p>
        </w:tc>
        <w:tc>
          <w:tcPr>
            <w:tcW w:w="220" w:type="dxa"/>
            <w:vAlign w:val="bottom"/>
          </w:tcPr>
          <w:p>
            <w:pPr>
              <w:spacing w:after="0"/>
              <w:rPr>
                <w:sz w:val="21"/>
                <w:szCs w:val="21"/>
                <w:color w:val="auto"/>
              </w:rPr>
            </w:pPr>
          </w:p>
        </w:tc>
        <w:tc>
          <w:tcPr>
            <w:tcW w:w="10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Amortization</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Net Book Value</w:t>
            </w:r>
          </w:p>
        </w:tc>
      </w:tr>
      <w:tr>
        <w:trPr>
          <w:trHeight w:val="223"/>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Purchased technology</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403,375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(260,241)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143,134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403,375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(251,491)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151,884</w:t>
            </w:r>
          </w:p>
        </w:tc>
      </w:tr>
      <w:tr>
        <w:trPr>
          <w:trHeight w:val="230"/>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Customer-related</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777,930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(401,135)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376,795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777,930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(377,368)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400,562</w:t>
            </w:r>
          </w:p>
        </w:tc>
      </w:tr>
      <w:tr>
        <w:trPr>
          <w:trHeight w:val="23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77,111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(47,280)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77,111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(45,529)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31,582</w:t>
            </w:r>
          </w:p>
        </w:tc>
      </w:tr>
      <w:tr>
        <w:trPr>
          <w:trHeight w:val="223"/>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1,258,416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(708,656)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549,760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1,258,416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(674,388)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584,028</w:t>
            </w:r>
          </w:p>
        </w:tc>
      </w:tr>
      <w:tr>
        <w:trPr>
          <w:trHeight w:val="20"/>
        </w:trPr>
        <w:tc>
          <w:tcPr>
            <w:tcW w:w="3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three months ended February 28, 2026 and 2025, amortization expense related to intangible assets was $34.4 million and $36.2 million, respectively.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Future amortization expense for intangible assets as of February 28, 2026, is as follows: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9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2026</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102,997</w:t>
            </w: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112,166</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100,582</w:t>
            </w: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100,582</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72,580</w:t>
            </w:r>
          </w:p>
        </w:tc>
        <w:tc>
          <w:tcPr>
            <w:tcW w:w="0" w:type="dxa"/>
            <w:vAlign w:val="bottom"/>
          </w:tcPr>
          <w:p>
            <w:pPr>
              <w:spacing w:after="0"/>
              <w:rPr>
                <w:sz w:val="1"/>
                <w:szCs w:val="1"/>
                <w:color w:val="auto"/>
              </w:rPr>
            </w:pP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60,853</w:t>
            </w: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549,760</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968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Changes in the carrying amount of goodwill in the three months ended February 28, 2026 are as follows:</w:t>
            </w: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9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9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1, 2025</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1,309,054</w:t>
            </w:r>
          </w:p>
        </w:tc>
        <w:tc>
          <w:tcPr>
            <w:tcW w:w="0" w:type="dxa"/>
            <w:vAlign w:val="bottom"/>
          </w:tcPr>
          <w:p>
            <w:pPr>
              <w:spacing w:after="0"/>
              <w:rPr>
                <w:sz w:val="1"/>
                <w:szCs w:val="1"/>
                <w:color w:val="auto"/>
              </w:rPr>
            </w:pP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Translation adjustments</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February 28, 2026</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1,309,070</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Business Combinations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Nuclia Acquisition</w:t>
      </w:r>
    </w:p>
    <w:p>
      <w:pPr>
        <w:spacing w:after="0" w:line="25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June 30, 2025, we completed the acquisition of Nuclia, an innovator in agentic Retrieval-Augmented Generation AI solutions, for a purchase price with an aggregate fair value of $21.4 million, which was primarily allocated to purchased technology and goodwill. The purchase consideration consisted of $20.3 million of cash paid at closing and contingent consideration with an estimated fair value of $1.1 million.</w:t>
      </w:r>
    </w:p>
    <w:p>
      <w:pPr>
        <w:spacing w:after="0" w:line="20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are required to pay contingent earn-out consideration of up to $5.0 million to former Nuclia shareholders, based on the achievement of certain revenue targets during fiscal year 2026. The fair value of the earn-out liability was determined to be $1.1 million as of the acquisition date.</w:t>
      </w:r>
    </w:p>
    <w:p>
      <w:pPr>
        <w:spacing w:after="0" w:line="18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We have not disclosed the amount of revenues and earnings of Nuclia since acquisition, nor pro forma financial information, as those amounts are not significant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8"/>
        </w:trPr>
        <w:tc>
          <w:tcPr>
            <w:tcW w:w="7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Debt</w:t>
            </w: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59"/>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As of February 28, 2026 and November 30, 2025, we had the following debt obligations:</w:t>
            </w: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99"/>
        </w:trPr>
        <w:tc>
          <w:tcPr>
            <w:tcW w:w="73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February 28, 2026</w:t>
            </w:r>
          </w:p>
        </w:tc>
        <w:tc>
          <w:tcPr>
            <w:tcW w:w="160" w:type="dxa"/>
            <w:vAlign w:val="bottom"/>
          </w:tcPr>
          <w:p>
            <w:pPr>
              <w:spacing w:after="0"/>
              <w:rPr>
                <w:sz w:val="24"/>
                <w:szCs w:val="24"/>
                <w:color w:val="auto"/>
              </w:rPr>
            </w:pP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November 30, 2025</w:t>
            </w:r>
          </w:p>
        </w:tc>
      </w:tr>
      <w:tr>
        <w:trPr>
          <w:trHeight w:val="210"/>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0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r>
      <w:tr>
        <w:trPr>
          <w:trHeight w:val="229"/>
        </w:trPr>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 convertible senior notes due 2026</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360,000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360,000</w:t>
            </w:r>
          </w:p>
        </w:tc>
      </w:tr>
      <w:tr>
        <w:trPr>
          <w:trHeight w:val="229"/>
        </w:trPr>
        <w:tc>
          <w:tcPr>
            <w:tcW w:w="7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Unamortized discount and issuance costs for the Notes</w:t>
            </w: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r>
      <w:tr>
        <w:trPr>
          <w:trHeight w:val="223"/>
        </w:trPr>
        <w:tc>
          <w:tcPr>
            <w:tcW w:w="73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current portion of long-term debt</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359,723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359,163</w:t>
            </w:r>
          </w:p>
        </w:tc>
      </w:tr>
      <w:tr>
        <w:trPr>
          <w:trHeight w:val="22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30"/>
        </w:trPr>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3.5% convertible senior notes due 2030</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450,000</w:t>
            </w:r>
          </w:p>
        </w:tc>
      </w:tr>
      <w:tr>
        <w:trPr>
          <w:trHeight w:val="229"/>
        </w:trPr>
        <w:tc>
          <w:tcPr>
            <w:tcW w:w="7380" w:type="dxa"/>
            <w:vAlign w:val="bottom"/>
            <w:shd w:val="clear" w:color="auto" w:fill="CCEEFF"/>
          </w:tcPr>
          <w:p>
            <w:pPr>
              <w:ind w:left="160"/>
              <w:spacing w:after="0" w:line="230" w:lineRule="exact"/>
              <w:rPr>
                <w:sz w:val="20"/>
                <w:szCs w:val="20"/>
                <w:color w:val="auto"/>
              </w:rPr>
            </w:pPr>
            <w:r>
              <w:rPr>
                <w:rFonts w:ascii="Times New Roman" w:cs="Times New Roman" w:eastAsia="Times New Roman" w:hAnsi="Times New Roman"/>
                <w:sz w:val="18"/>
                <w:szCs w:val="18"/>
                <w:color w:val="auto"/>
              </w:rPr>
              <w:t>Revolving credit facility</w:t>
            </w:r>
            <w:r>
              <w:rPr>
                <w:rFonts w:ascii="Times New Roman" w:cs="Times New Roman" w:eastAsia="Times New Roman" w:hAnsi="Times New Roman"/>
                <w:sz w:val="23"/>
                <w:szCs w:val="23"/>
                <w:color w:val="auto"/>
                <w:vertAlign w:val="superscript"/>
              </w:rPr>
              <w:t>(1)</w:t>
            </w: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r>
      <w:tr>
        <w:trPr>
          <w:trHeight w:val="223"/>
        </w:trPr>
        <w:tc>
          <w:tcPr>
            <w:tcW w:w="73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face value of long-term debt</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1,050,000</w:t>
            </w:r>
          </w:p>
        </w:tc>
      </w:tr>
      <w:tr>
        <w:trPr>
          <w:trHeight w:val="229"/>
        </w:trPr>
        <w:tc>
          <w:tcPr>
            <w:tcW w:w="7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Unamortized discount and issuance costs for the Notes</w:t>
            </w: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(8,814)</w:t>
            </w:r>
          </w:p>
        </w:tc>
      </w:tr>
      <w:tr>
        <w:trPr>
          <w:trHeight w:val="223"/>
        </w:trPr>
        <w:tc>
          <w:tcPr>
            <w:tcW w:w="738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8"/>
                <w:szCs w:val="18"/>
                <w:color w:val="auto"/>
              </w:rPr>
              <w:t>Total long-term debt</w:t>
            </w: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981,664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1,041,186</w:t>
            </w:r>
          </w:p>
        </w:tc>
      </w:tr>
      <w:tr>
        <w:trPr>
          <w:trHeight w:val="248"/>
        </w:trPr>
        <w:tc>
          <w:tcPr>
            <w:tcW w:w="738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 debt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1,341,387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1,400,349</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520" w:firstLine="8"/>
        <w:spacing w:after="0" w:line="337" w:lineRule="auto"/>
        <w:tabs>
          <w:tab w:leader="none" w:pos="132" w:val="left"/>
        </w:tabs>
        <w:numPr>
          <w:ilvl w:val="0"/>
          <w:numId w:val="2"/>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Unamortized debt issuance costs related to the revolving credit facility of $9.9 million and $10.4 million are included in other assets on the condensed consolidated balance sheets as of February 28, 2026 and November 30, 2025, respectively.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first fiscal quarter of 2026, we repaid $60.0 million on the revolving credit facility. The interest rate as of February 28, 2026 was 5.42%.</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Common Stock Repurchases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September 23, 2025, our Board of Directors increased the share repurchase authorization by $200.0 million to an aggregate authorization of</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$242.2 million. During the three months ended February 28, 2026 and 2025, we repurchased and retired 0.5 million shares for $20.0 million and 0.5 million shares for $30.0 million, respectively. As of February 28, 2026, there was $182.2 million remaining under the current authorization.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Stock-Based Compensation</w:t>
      </w:r>
    </w:p>
    <w:p>
      <w:pPr>
        <w:spacing w:after="0" w:line="25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Stock-based compensation expense reflects the fair value of stock-based awards measured at the grant date and recognized over the relevant service period. We estimate the fair value of each stock-based award on the measurement date using either the current market price of the stock, the Black-Scholes option valuation model, or the Monte Carlo Simulation valuation model. The Black-Scholes and Monte Carlo Simulation valuation models incorporate assumptions as to stock price volatility, the expected life of options or awards, a risk-free interest rate, and dividend yield. We recognize stock-based compensation expense related to options and restricted stock units on a straight-line basis over the service period of the award, which is generally four or five years for options and three or four years for restricted stock units, and adjust the expense each period for actual forfeitures. We recognize stock-based compensation expense related to performance stock units and our employee stock purchase plan using an accelerated attribution.</w:t>
      </w:r>
    </w:p>
    <w:p>
      <w:pPr>
        <w:spacing w:after="0" w:line="21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2026, 2025, and 2024, we granted performance-based restricted stock units that include two performance metrics under our Long-Term Incentive Plan ("LTIP") where the performance measurement period is three years. For the 2026, 2025, and 2024 plans, the vesting terms were based on the following: (i) 75% is based on achievement of a three-year cumulative operating income, and (ii) 25% is based on our level of attainment of specified TSR targets relative to the percentage appreciation of a specified index of companies for the respective three-year periods. The vesting of LTIP awards is also subject to continued employment of the grantees through the performance period, except in the event of a qualifying termination. In order to estimate the fair value of such awards, we used a Monte Carlo Simulation valuation model for the market condition portion of the award, and used the closing price of our common stock on the date of grant, less the present value of expected dividends when applicable, for the portion related to the performance condition.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The following table provides the classification of stock-based compensation as reflected in our condensed consolidated statements of operations: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gridSpan w:val="4"/>
          </w:tcPr>
          <w:p>
            <w:pPr>
              <w:jc w:val="right"/>
              <w:ind w:right="109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23"/>
        </w:trPr>
        <w:tc>
          <w:tcPr>
            <w:tcW w:w="73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9"/>
                <w:szCs w:val="19"/>
                <w:color w:val="auto"/>
              </w:rPr>
            </w:pPr>
          </w:p>
        </w:tc>
        <w:tc>
          <w:tcPr>
            <w:tcW w:w="1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February 28, 2026</w:t>
            </w:r>
          </w:p>
        </w:tc>
        <w:tc>
          <w:tcPr>
            <w:tcW w:w="200" w:type="dxa"/>
            <w:vAlign w:val="bottom"/>
          </w:tcPr>
          <w:p>
            <w:pPr>
              <w:spacing w:after="0"/>
              <w:rPr>
                <w:sz w:val="19"/>
                <w:szCs w:val="19"/>
                <w:color w:val="auto"/>
              </w:rPr>
            </w:pPr>
          </w:p>
        </w:tc>
        <w:tc>
          <w:tcPr>
            <w:tcW w:w="16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February 28, 2025</w:t>
            </w:r>
          </w:p>
        </w:tc>
      </w:tr>
      <w:tr>
        <w:trPr>
          <w:trHeight w:val="223"/>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maintenance, SaaS, and professional services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r>
      <w:tr>
        <w:trPr>
          <w:trHeight w:val="229"/>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3,032</w:t>
            </w:r>
          </w:p>
        </w:tc>
      </w:tr>
      <w:tr>
        <w:trPr>
          <w:trHeight w:val="22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4,410</w:t>
            </w:r>
          </w:p>
        </w:tc>
      </w:tr>
      <w:tr>
        <w:trPr>
          <w:trHeight w:val="230"/>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6,046</w:t>
            </w:r>
          </w:p>
        </w:tc>
      </w:tr>
      <w:tr>
        <w:trPr>
          <w:trHeight w:val="248"/>
        </w:trPr>
        <w:tc>
          <w:tcPr>
            <w:tcW w:w="73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14,683</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Revenue Recognition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revenues are derived from licensing our products and from related services, which consist of maintenance, SaaS, and professional services. Information relating to revenue from external customers by revenue type is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gridSpan w:val="4"/>
          </w:tcPr>
          <w:p>
            <w:pPr>
              <w:jc w:val="right"/>
              <w:ind w:right="109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23"/>
        </w:trPr>
        <w:tc>
          <w:tcPr>
            <w:tcW w:w="73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9"/>
                <w:szCs w:val="19"/>
                <w:color w:val="auto"/>
              </w:rPr>
            </w:pPr>
          </w:p>
        </w:tc>
        <w:tc>
          <w:tcPr>
            <w:tcW w:w="1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February 28, 2026</w:t>
            </w:r>
          </w:p>
        </w:tc>
        <w:tc>
          <w:tcPr>
            <w:tcW w:w="200" w:type="dxa"/>
            <w:vAlign w:val="bottom"/>
          </w:tcPr>
          <w:p>
            <w:pPr>
              <w:spacing w:after="0"/>
              <w:rPr>
                <w:sz w:val="19"/>
                <w:szCs w:val="19"/>
                <w:color w:val="auto"/>
              </w:rPr>
            </w:pPr>
          </w:p>
        </w:tc>
        <w:tc>
          <w:tcPr>
            <w:tcW w:w="16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February 28, 2025</w:t>
            </w:r>
          </w:p>
        </w:tc>
      </w:tr>
      <w:tr>
        <w:trPr>
          <w:trHeight w:val="210"/>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obligations transferred at a point in time:</w:t>
            </w:r>
          </w:p>
        </w:tc>
        <w:tc>
          <w:tcPr>
            <w:tcW w:w="20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r>
      <w:tr>
        <w:trPr>
          <w:trHeight w:val="229"/>
        </w:trPr>
        <w:tc>
          <w:tcPr>
            <w:tcW w:w="7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Software licenses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67,581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58,445</w:t>
            </w:r>
          </w:p>
        </w:tc>
      </w:tr>
      <w:tr>
        <w:trPr>
          <w:trHeight w:val="22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obligations transferred over time:</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30"/>
        </w:trPr>
        <w:tc>
          <w:tcPr>
            <w:tcW w:w="7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Maintenance</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99,535</w:t>
            </w:r>
          </w:p>
        </w:tc>
      </w:tr>
      <w:tr>
        <w:trPr>
          <w:trHeight w:val="229"/>
        </w:trPr>
        <w:tc>
          <w:tcPr>
            <w:tcW w:w="7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SaaS</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69,410</w:t>
            </w:r>
          </w:p>
        </w:tc>
      </w:tr>
      <w:tr>
        <w:trPr>
          <w:trHeight w:val="229"/>
        </w:trPr>
        <w:tc>
          <w:tcPr>
            <w:tcW w:w="73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Professional services</w:t>
            </w: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10,625</w:t>
            </w:r>
          </w:p>
        </w:tc>
      </w:tr>
      <w:tr>
        <w:trPr>
          <w:trHeight w:val="248"/>
        </w:trPr>
        <w:tc>
          <w:tcPr>
            <w:tcW w:w="738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238,015</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Geographic Revenue</w:t>
      </w:r>
    </w:p>
    <w:p>
      <w:pPr>
        <w:spacing w:after="0" w:line="256"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In the following table, revenue attributed to North America includes sales to customers in the U.S. and Canada and sales to certain multinational organizations. Revenue from EMEA, Latin America, and the Asia Pacific region includes sales to customers in each region plus sales from the U.S. to distributors in these regions. Information relating to revenue from external customers from different geographical areas is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gridSpan w:val="4"/>
          </w:tcPr>
          <w:p>
            <w:pPr>
              <w:jc w:val="right"/>
              <w:ind w:right="109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23"/>
        </w:trPr>
        <w:tc>
          <w:tcPr>
            <w:tcW w:w="73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9"/>
                <w:szCs w:val="19"/>
                <w:color w:val="auto"/>
              </w:rPr>
            </w:pPr>
          </w:p>
        </w:tc>
        <w:tc>
          <w:tcPr>
            <w:tcW w:w="1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February 28, 2026</w:t>
            </w:r>
          </w:p>
        </w:tc>
        <w:tc>
          <w:tcPr>
            <w:tcW w:w="200" w:type="dxa"/>
            <w:vAlign w:val="bottom"/>
          </w:tcPr>
          <w:p>
            <w:pPr>
              <w:spacing w:after="0"/>
              <w:rPr>
                <w:sz w:val="19"/>
                <w:szCs w:val="19"/>
                <w:color w:val="auto"/>
              </w:rPr>
            </w:pPr>
          </w:p>
        </w:tc>
        <w:tc>
          <w:tcPr>
            <w:tcW w:w="16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February 28, 2025</w:t>
            </w:r>
          </w:p>
        </w:tc>
      </w:tr>
      <w:tr>
        <w:trPr>
          <w:trHeight w:val="223"/>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152,689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154,646</w:t>
            </w:r>
          </w:p>
        </w:tc>
      </w:tr>
      <w:tr>
        <w:trPr>
          <w:trHeight w:val="230"/>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66,943</w:t>
            </w:r>
          </w:p>
        </w:tc>
      </w:tr>
      <w:tr>
        <w:trPr>
          <w:trHeight w:val="23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Latin America</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5,052</w:t>
            </w:r>
          </w:p>
        </w:tc>
      </w:tr>
      <w:tr>
        <w:trPr>
          <w:trHeight w:val="230"/>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11,374</w:t>
            </w:r>
          </w:p>
        </w:tc>
      </w:tr>
      <w:tr>
        <w:trPr>
          <w:trHeight w:val="248"/>
        </w:trPr>
        <w:tc>
          <w:tcPr>
            <w:tcW w:w="7380" w:type="dxa"/>
            <w:vAlign w:val="bottom"/>
            <w:tcBorders>
              <w:bottom w:val="single" w:sz="8" w:color="CCEEFF"/>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238,015</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No single customer, partner, or country outside the U.S. accounted for more than 10% of our total revenue for the three months ended February 28, 2026 or 2025.</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Unbilled Receivables and Contract Assets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28, 2026, billing of our non-current unbilled receivables is expected to occur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3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
        </w:trPr>
        <w:tc>
          <w:tcPr>
            <w:tcW w:w="9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0"/>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15,061</w:t>
            </w:r>
          </w:p>
        </w:tc>
      </w:tr>
      <w:tr>
        <w:trPr>
          <w:trHeight w:val="229"/>
        </w:trPr>
        <w:tc>
          <w:tcPr>
            <w:tcW w:w="9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8,098</w:t>
            </w:r>
          </w:p>
        </w:tc>
      </w:tr>
      <w:tr>
        <w:trPr>
          <w:trHeight w:val="230"/>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7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5,318</w:t>
            </w:r>
          </w:p>
        </w:tc>
      </w:tr>
      <w:tr>
        <w:trPr>
          <w:trHeight w:val="223"/>
        </w:trPr>
        <w:tc>
          <w:tcPr>
            <w:tcW w:w="9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28,477</w:t>
            </w:r>
          </w:p>
        </w:tc>
      </w:tr>
      <w:tr>
        <w:trPr>
          <w:trHeight w:val="21"/>
        </w:trPr>
        <w:tc>
          <w:tcPr>
            <w:tcW w:w="93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Contract assets arise when revenue is recognized in excess of billings and the right to the amount due from customers is conditioned on something other than the passage of time, such as the completion of a related performance obligation. We did not have any net contract assets as of February 28, 2026 or November 30,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5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Deferred revenue is recorded when revenue is recognized subsequent to customer invoicing. Deferred revenue expected to be recognized as revenue more than one year subsequent to the balance sheet date is included in long-term liabilities on the condensed consolidated balance sheets. Our deferred revenue balance is primarily made up of deferred maintenance and deferred revenue related to our SaaS offerings.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28, 2026, the changes in deferred revenue were as follows: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3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
        </w:trPr>
        <w:tc>
          <w:tcPr>
            <w:tcW w:w="9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0"/>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1, 2025</w:t>
            </w:r>
          </w:p>
        </w:tc>
        <w:tc>
          <w:tcPr>
            <w:tcW w:w="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425,079</w:t>
            </w:r>
          </w:p>
        </w:tc>
      </w:tr>
      <w:tr>
        <w:trPr>
          <w:trHeight w:val="230"/>
        </w:trPr>
        <w:tc>
          <w:tcPr>
            <w:tcW w:w="9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Billings and other</w:t>
            </w:r>
          </w:p>
        </w:tc>
        <w:tc>
          <w:tcPr>
            <w:tcW w:w="6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247,331</w:t>
            </w:r>
          </w:p>
        </w:tc>
      </w:tr>
      <w:tr>
        <w:trPr>
          <w:trHeight w:val="230"/>
        </w:trPr>
        <w:tc>
          <w:tcPr>
            <w:tcW w:w="9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Revenue recognized that was deferred in prior periods</w:t>
            </w:r>
          </w:p>
        </w:tc>
        <w:tc>
          <w:tcPr>
            <w:tcW w:w="6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(153,981)</w:t>
            </w:r>
          </w:p>
        </w:tc>
      </w:tr>
      <w:tr>
        <w:trPr>
          <w:trHeight w:val="230"/>
        </w:trPr>
        <w:tc>
          <w:tcPr>
            <w:tcW w:w="9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Revenue recognized from current period arrangements</w:t>
            </w:r>
          </w:p>
        </w:tc>
        <w:tc>
          <w:tcPr>
            <w:tcW w:w="6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(93,818)</w:t>
            </w:r>
          </w:p>
        </w:tc>
      </w:tr>
      <w:tr>
        <w:trPr>
          <w:trHeight w:val="248"/>
        </w:trPr>
        <w:tc>
          <w:tcPr>
            <w:tcW w:w="9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February 28, 2026</w:t>
            </w: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424,611</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160"/>
        <w:spacing w:after="0" w:line="289" w:lineRule="auto"/>
        <w:rPr>
          <w:sz w:val="20"/>
          <w:szCs w:val="20"/>
          <w:color w:val="auto"/>
        </w:rPr>
      </w:pPr>
      <w:r>
        <w:rPr>
          <w:rFonts w:ascii="Times New Roman" w:cs="Times New Roman" w:eastAsia="Times New Roman" w:hAnsi="Times New Roman"/>
          <w:sz w:val="17"/>
          <w:szCs w:val="17"/>
          <w:color w:val="auto"/>
        </w:rPr>
        <w:t>Transaction price allocated to remaining performance obligations represents contracted revenue that has not yet been recognized, which includes deferred revenue and amounts that will be invoiced and recognized as revenue in future periods. As of February 28, 2026, transaction price allocated to remaining performance obligations was $527.5 million. We expect to recognize approximately 75% of the revenue within the next year and the remainder thereafter.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Contract Costs</w:t>
      </w:r>
    </w:p>
    <w:p>
      <w:pPr>
        <w:spacing w:after="0" w:line="25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Certain of our sales incentive programs meet the requirements to be capitalized. Depending upon the sales incentive program and the related revenue arrangement, such capitalized costs are amortized over the longer of (i) the product life, which is generally three to five years; or (ii) the term of the related revenue contract. We determined that a three to five year product life represents the period of benefit that we receive from these incremental costs based on both qualitative and quantitative factors, which include customer contracts, industry norms, and product upgrades. Total deferred contract costs were $6.2 million and $6.5 million as of February 28, 2026 and November 30, 2025, respectively, and are included in other current assets and other assets on our condensed consolidated balance sheets. Amortization of deferred contract costs is included in sales and marketing expense on our condensed consolidated statements of operations and was insignificant in all periods presented.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9: Restructuring</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provides a summary of activity for all of our restructuring actions:</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320" w:type="dxa"/>
            <w:vAlign w:val="bottom"/>
          </w:tcPr>
          <w:p>
            <w:pPr>
              <w:spacing w:after="0"/>
              <w:rPr>
                <w:sz w:val="24"/>
                <w:szCs w:val="24"/>
                <w:color w:val="auto"/>
              </w:rPr>
            </w:pPr>
          </w:p>
        </w:tc>
        <w:tc>
          <w:tcPr>
            <w:tcW w:w="168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Excess Facilities and</w:t>
            </w:r>
          </w:p>
        </w:tc>
        <w:tc>
          <w:tcPr>
            <w:tcW w:w="140" w:type="dxa"/>
            <w:vAlign w:val="bottom"/>
          </w:tcPr>
          <w:p>
            <w:pPr>
              <w:spacing w:after="0"/>
              <w:rPr>
                <w:sz w:val="24"/>
                <w:szCs w:val="24"/>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Employee</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320" w:type="dxa"/>
            <w:vAlign w:val="bottom"/>
          </w:tcPr>
          <w:p>
            <w:pPr>
              <w:spacing w:after="0"/>
              <w:rPr>
                <w:sz w:val="15"/>
                <w:szCs w:val="15"/>
                <w:color w:val="auto"/>
              </w:rPr>
            </w:pPr>
          </w:p>
        </w:tc>
        <w:tc>
          <w:tcPr>
            <w:tcW w:w="168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color w:val="auto"/>
                <w:w w:val="99"/>
              </w:rPr>
              <w:t>Severance and</w:t>
            </w: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21"/>
                <w:szCs w:val="21"/>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Costs</w:t>
            </w:r>
          </w:p>
        </w:tc>
        <w:tc>
          <w:tcPr>
            <w:tcW w:w="140" w:type="dxa"/>
            <w:vAlign w:val="bottom"/>
          </w:tcPr>
          <w:p>
            <w:pPr>
              <w:spacing w:after="0"/>
              <w:rPr>
                <w:sz w:val="21"/>
                <w:szCs w:val="21"/>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Related Benefits</w:t>
            </w:r>
          </w:p>
        </w:tc>
        <w:tc>
          <w:tcPr>
            <w:tcW w:w="340" w:type="dxa"/>
            <w:vAlign w:val="bottom"/>
          </w:tcPr>
          <w:p>
            <w:pPr>
              <w:spacing w:after="0"/>
              <w:rPr>
                <w:sz w:val="21"/>
                <w:szCs w:val="21"/>
                <w:color w:val="auto"/>
              </w:rPr>
            </w:pP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3"/>
        </w:trPr>
        <w:tc>
          <w:tcPr>
            <w:tcW w:w="6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1, 2025</w:t>
            </w: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3,254</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5,839</w:t>
            </w:r>
          </w:p>
        </w:tc>
        <w:tc>
          <w:tcPr>
            <w:tcW w:w="0" w:type="dxa"/>
            <w:vAlign w:val="bottom"/>
          </w:tcPr>
          <w:p>
            <w:pPr>
              <w:spacing w:after="0"/>
              <w:rPr>
                <w:sz w:val="1"/>
                <w:szCs w:val="1"/>
                <w:color w:val="auto"/>
              </w:rPr>
            </w:pPr>
          </w:p>
        </w:tc>
      </w:tr>
      <w:tr>
        <w:trPr>
          <w:trHeight w:val="22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incurred</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disbursements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(2,924)</w:t>
            </w:r>
          </w:p>
        </w:tc>
        <w:tc>
          <w:tcPr>
            <w:tcW w:w="0" w:type="dxa"/>
            <w:vAlign w:val="bottom"/>
          </w:tcPr>
          <w:p>
            <w:pPr>
              <w:spacing w:after="0"/>
              <w:rPr>
                <w:sz w:val="1"/>
                <w:szCs w:val="1"/>
                <w:color w:val="auto"/>
              </w:rPr>
            </w:pPr>
          </w:p>
        </w:tc>
      </w:tr>
      <w:tr>
        <w:trPr>
          <w:trHeight w:val="22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Translation and other adjustments</w:t>
            </w:r>
          </w:p>
        </w:tc>
        <w:tc>
          <w:tcPr>
            <w:tcW w:w="24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8"/>
        </w:trPr>
        <w:tc>
          <w:tcPr>
            <w:tcW w:w="6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February 28, 2026</w:t>
            </w: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3,623</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Costs incurred during the three months ended February 28, 2026 are primarily related to our restructuring action that commenced in fiscal year 2025 to optimize efficiency and sustainability, while ensuring alignment with the company’s long-term financial objectives. Cash disbursements for expenses incurred to date under this restructuring are expected to be made through the fourth quarter of fiscal year 2026. The restructuring reserve is included in other accrued liabilities on the condensed consolidated balance sheet as of February 28, 2026. We do not expect to incur additional material expenses in connection with this restructuring.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Earnings Per Share</w:t>
      </w:r>
    </w:p>
    <w:p>
      <w:pPr>
        <w:spacing w:after="0" w:line="25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compute basic earnings per share using the weighted average number of common shares outstanding. We compute diluted earnings per share using the weighted average number of common shares outstanding plus the effect of outstanding dilutive stock options, restricted stock units, and deferred stock units, using the treasury stock method and the effect of our convertible debt using the if-converted method. The following table sets forth the calculation of basic and diluted earnings per share on an interim basis:</w:t>
      </w:r>
    </w:p>
    <w:p>
      <w:pPr>
        <w:spacing w:after="0" w:line="247"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8"/>
          <w:szCs w:val="18"/>
          <w:color w:val="auto"/>
        </w:rPr>
        <w:t>Three Months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80" w:type="dxa"/>
            <w:vAlign w:val="bottom"/>
          </w:tcPr>
          <w:p>
            <w:pPr>
              <w:ind w:left="6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20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February 28, 2026</w:t>
            </w:r>
          </w:p>
        </w:tc>
        <w:tc>
          <w:tcPr>
            <w:tcW w:w="20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February 28, 2025</w:t>
            </w:r>
          </w:p>
        </w:tc>
      </w:tr>
      <w:tr>
        <w:trPr>
          <w:trHeight w:val="223"/>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10,946</w:t>
            </w:r>
          </w:p>
        </w:tc>
      </w:tr>
      <w:tr>
        <w:trPr>
          <w:trHeight w:val="223"/>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43,256</w:t>
            </w:r>
          </w:p>
        </w:tc>
      </w:tr>
      <w:tr>
        <w:trPr>
          <w:trHeight w:val="23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dilution from common stock equivalents</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w:t>
            </w:r>
          </w:p>
        </w:tc>
      </w:tr>
      <w:tr>
        <w:trPr>
          <w:trHeight w:val="229"/>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dilution from if-converted convertible notes</w:t>
            </w:r>
          </w:p>
        </w:tc>
        <w:tc>
          <w:tcPr>
            <w:tcW w:w="200" w:type="dxa"/>
            <w:vAlign w:val="bottom"/>
          </w:tcPr>
          <w:p>
            <w:pPr>
              <w:spacing w:after="0"/>
              <w:rPr>
                <w:sz w:val="19"/>
                <w:szCs w:val="19"/>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r>
      <w:tr>
        <w:trPr>
          <w:trHeight w:val="248"/>
        </w:trPr>
        <w:tc>
          <w:tcPr>
            <w:tcW w:w="7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44,887</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30"/>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r>
      <w:tr>
        <w:trPr>
          <w:trHeight w:val="23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r>
    </w:tbl>
    <w:p>
      <w:pPr>
        <w:spacing w:after="0" w:line="31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We excluded stock awards representing approximately 3,486,000 and 397,000 shares of common stock, respectively, from the calculation of diluted earnings per share in the three months ended February 28, 2026 and 2025, respectively, as these awards were anti-dilutive.</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dilutive impact of the Notes on our calculation of diluted earnings per share is measured using the if-converted method. However, because the principal amount of the Notes will be settled in cash, the dilutive impact of applying the if-converted method is limited to the in-the-money portion, if any. During the three months ended February 28, 2026, we excluded the Notes in our diluted earnings per share calculation because the conversion feature in the Notes was out of the money. During the three months ended February 28, 2025, we included the 2026 Notes in our diluted earnings per share calculation and we excluded the 2030 Notes in our diluted earnings per share calculation because the conversion feature in the 2030 Notes was out of the money.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Note 11: Segment Information</w:t>
      </w:r>
    </w:p>
    <w:p>
      <w:pPr>
        <w:spacing w:after="0" w:line="25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Operating segments are components of an enterprise that engages in business activities for which discrete financial information is available and regularly reviewed by the chief operating decision maker ("CODM") in deciding how to allocate resources and assess performance. Our CODM is our Chief Executive Officer.</w:t>
      </w:r>
    </w:p>
    <w:p>
      <w:pPr>
        <w:spacing w:after="0" w:line="203"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 xml:space="preserve">We operate as one operating and reportable segment that is managed on a consolidated basis and derives substantially all of its revenue from the sale and support of one group of similar products and services, comprised of software products for the development, deployment, and management of responsible, AI-powered applications and digital experiences. The accounting policies of the Company's operating segment are the same as those described in Note 1, </w:t>
      </w:r>
      <w:r>
        <w:rPr>
          <w:rFonts w:ascii="Times New Roman" w:cs="Times New Roman" w:eastAsia="Times New Roman" w:hAnsi="Times New Roman"/>
          <w:sz w:val="18"/>
          <w:szCs w:val="18"/>
          <w:i w:val="1"/>
          <w:iCs w:val="1"/>
          <w:color w:val="auto"/>
        </w:rPr>
        <w:t xml:space="preserve">Nature of Business and Summary of Significant Accounting Policies </w:t>
      </w:r>
      <w:r>
        <w:rPr>
          <w:rFonts w:ascii="Times New Roman" w:cs="Times New Roman" w:eastAsia="Times New Roman" w:hAnsi="Times New Roman"/>
          <w:sz w:val="18"/>
          <w:szCs w:val="18"/>
          <w:color w:val="auto"/>
        </w:rPr>
        <w:t>to our Consolidated Financial Statements in Item 8 of our 2025 Annual Report.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CODM does not receive profitability information at a lower level than consolidated results, and evaluates net income on a consolidated basis to set financial performance targets, assess performance, and make resource allocation decisions, primarily through comparison of actual results to forecasted results, year-over-year analysis, and review of historical performance trends. The measure of segment assets is reported on the Company's consolidated balance sheets as total consolidated assets.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The Company's significant expenses and other segment items are provided in the table below:</w:t>
            </w: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500"/>
        </w:trPr>
        <w:tc>
          <w:tcPr>
            <w:tcW w:w="73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4"/>
          </w:tcPr>
          <w:p>
            <w:pPr>
              <w:jc w:val="right"/>
              <w:ind w:right="109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23"/>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February 28, 2026</w:t>
            </w: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February 28, 2025</w:t>
            </w:r>
          </w:p>
        </w:tc>
      </w:tr>
      <w:tr>
        <w:trPr>
          <w:trHeight w:val="223"/>
        </w:trPr>
        <w:tc>
          <w:tcPr>
            <w:tcW w:w="7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238,015</w:t>
            </w:r>
          </w:p>
        </w:tc>
      </w:tr>
      <w:tr>
        <w:trPr>
          <w:trHeight w:val="243"/>
        </w:trPr>
        <w:tc>
          <w:tcPr>
            <w:tcW w:w="7380" w:type="dxa"/>
            <w:vAlign w:val="bottom"/>
          </w:tcPr>
          <w:p>
            <w:pPr>
              <w:ind w:left="80"/>
              <w:spacing w:after="0" w:line="243" w:lineRule="exact"/>
              <w:rPr>
                <w:sz w:val="20"/>
                <w:szCs w:val="20"/>
                <w:color w:val="auto"/>
              </w:rPr>
            </w:pPr>
            <w:r>
              <w:rPr>
                <w:rFonts w:ascii="Times New Roman" w:cs="Times New Roman" w:eastAsia="Times New Roman" w:hAnsi="Times New Roman"/>
                <w:sz w:val="18"/>
                <w:szCs w:val="18"/>
                <w:color w:val="auto"/>
              </w:rPr>
              <w:t xml:space="preserve">Cost of revenue </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34,614</w:t>
            </w:r>
          </w:p>
        </w:tc>
      </w:tr>
      <w:tr>
        <w:trPr>
          <w:trHeight w:val="243"/>
        </w:trPr>
        <w:tc>
          <w:tcPr>
            <w:tcW w:w="7380" w:type="dxa"/>
            <w:vAlign w:val="bottom"/>
            <w:shd w:val="clear" w:color="auto" w:fill="CCEEFF"/>
          </w:tcPr>
          <w:p>
            <w:pPr>
              <w:ind w:left="80"/>
              <w:spacing w:after="0" w:line="243" w:lineRule="exact"/>
              <w:rPr>
                <w:sz w:val="20"/>
                <w:szCs w:val="20"/>
                <w:color w:val="auto"/>
              </w:rPr>
            </w:pPr>
            <w:r>
              <w:rPr>
                <w:rFonts w:ascii="Times New Roman" w:cs="Times New Roman" w:eastAsia="Times New Roman" w:hAnsi="Times New Roman"/>
                <w:sz w:val="18"/>
                <w:szCs w:val="18"/>
                <w:color w:val="auto"/>
              </w:rPr>
              <w:t xml:space="preserve">Sales and marketing </w:t>
            </w:r>
            <w:r>
              <w:rPr>
                <w:rFonts w:ascii="Times New Roman" w:cs="Times New Roman" w:eastAsia="Times New Roman" w:hAnsi="Times New Roman"/>
                <w:sz w:val="23"/>
                <w:szCs w:val="23"/>
                <w:color w:val="auto"/>
                <w:vertAlign w:val="superscript"/>
              </w:rPr>
              <w:t>(2)</w:t>
            </w:r>
          </w:p>
        </w:tc>
        <w:tc>
          <w:tcPr>
            <w:tcW w:w="20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47,914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48,264</w:t>
            </w:r>
          </w:p>
        </w:tc>
      </w:tr>
      <w:tr>
        <w:trPr>
          <w:trHeight w:val="243"/>
        </w:trPr>
        <w:tc>
          <w:tcPr>
            <w:tcW w:w="7380" w:type="dxa"/>
            <w:vAlign w:val="bottom"/>
          </w:tcPr>
          <w:p>
            <w:pPr>
              <w:ind w:left="80"/>
              <w:spacing w:after="0" w:line="243" w:lineRule="exact"/>
              <w:rPr>
                <w:sz w:val="20"/>
                <w:szCs w:val="20"/>
                <w:color w:val="auto"/>
              </w:rPr>
            </w:pPr>
            <w:r>
              <w:rPr>
                <w:rFonts w:ascii="Times New Roman" w:cs="Times New Roman" w:eastAsia="Times New Roman" w:hAnsi="Times New Roman"/>
                <w:sz w:val="18"/>
                <w:szCs w:val="18"/>
                <w:color w:val="auto"/>
              </w:rPr>
              <w:t xml:space="preserve">Product development </w:t>
            </w:r>
            <w:r>
              <w:rPr>
                <w:rFonts w:ascii="Times New Roman" w:cs="Times New Roman" w:eastAsia="Times New Roman" w:hAnsi="Times New Roman"/>
                <w:sz w:val="23"/>
                <w:szCs w:val="23"/>
                <w:color w:val="auto"/>
                <w:vertAlign w:val="superscript"/>
              </w:rPr>
              <w:t>(2)</w:t>
            </w:r>
          </w:p>
        </w:tc>
        <w:tc>
          <w:tcPr>
            <w:tcW w:w="2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41,965</w:t>
            </w:r>
          </w:p>
        </w:tc>
      </w:tr>
      <w:tr>
        <w:trPr>
          <w:trHeight w:val="243"/>
        </w:trPr>
        <w:tc>
          <w:tcPr>
            <w:tcW w:w="7380" w:type="dxa"/>
            <w:vAlign w:val="bottom"/>
            <w:shd w:val="clear" w:color="auto" w:fill="CCEEFF"/>
          </w:tcPr>
          <w:p>
            <w:pPr>
              <w:ind w:left="80"/>
              <w:spacing w:after="0" w:line="243" w:lineRule="exact"/>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3"/>
                <w:szCs w:val="23"/>
                <w:color w:val="auto"/>
                <w:vertAlign w:val="superscript"/>
              </w:rPr>
              <w:t>(2)</w:t>
            </w:r>
          </w:p>
        </w:tc>
        <w:tc>
          <w:tcPr>
            <w:tcW w:w="20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19,577</w:t>
            </w:r>
          </w:p>
        </w:tc>
      </w:tr>
      <w:tr>
        <w:trPr>
          <w:trHeight w:val="243"/>
        </w:trPr>
        <w:tc>
          <w:tcPr>
            <w:tcW w:w="7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14,683</w:t>
            </w:r>
          </w:p>
        </w:tc>
      </w:tr>
      <w:tr>
        <w:trPr>
          <w:trHeight w:val="243"/>
        </w:trPr>
        <w:tc>
          <w:tcPr>
            <w:tcW w:w="7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0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34,368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36,230</w:t>
            </w:r>
          </w:p>
        </w:tc>
      </w:tr>
      <w:tr>
        <w:trPr>
          <w:trHeight w:val="243"/>
        </w:trPr>
        <w:tc>
          <w:tcPr>
            <w:tcW w:w="7380" w:type="dxa"/>
            <w:vAlign w:val="bottom"/>
            <w:tcBorders>
              <w:bottom w:val="single" w:sz="8" w:color="CCEEFF"/>
            </w:tcBorders>
          </w:tcPr>
          <w:p>
            <w:pPr>
              <w:ind w:left="80"/>
              <w:spacing w:after="0" w:line="243" w:lineRule="exact"/>
              <w:rPr>
                <w:sz w:val="20"/>
                <w:szCs w:val="20"/>
                <w:color w:val="auto"/>
              </w:rPr>
            </w:pPr>
            <w:r>
              <w:rPr>
                <w:rFonts w:ascii="Times New Roman" w:cs="Times New Roman" w:eastAsia="Times New Roman" w:hAnsi="Times New Roman"/>
                <w:sz w:val="18"/>
                <w:szCs w:val="18"/>
                <w:color w:val="auto"/>
              </w:rPr>
              <w:t xml:space="preserve">Other segment items, net </w:t>
            </w:r>
            <w:r>
              <w:rPr>
                <w:rFonts w:ascii="Times New Roman" w:cs="Times New Roman" w:eastAsia="Times New Roman" w:hAnsi="Times New Roman"/>
                <w:sz w:val="23"/>
                <w:szCs w:val="23"/>
                <w:color w:val="auto"/>
                <w:vertAlign w:val="superscript"/>
              </w:rPr>
              <w:t>(3)</w:t>
            </w:r>
          </w:p>
        </w:tc>
        <w:tc>
          <w:tcPr>
            <w:tcW w:w="2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26,530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31,736</w:t>
            </w:r>
          </w:p>
        </w:tc>
      </w:tr>
      <w:tr>
        <w:trPr>
          <w:trHeight w:val="248"/>
        </w:trPr>
        <w:tc>
          <w:tcPr>
            <w:tcW w:w="73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10,946</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Excludes amortization of intangibles and stock-based compensation.</w:t>
      </w:r>
    </w:p>
    <w:p>
      <w:pPr>
        <w:spacing w:after="0"/>
        <w:rPr>
          <w:sz w:val="20"/>
          <w:szCs w:val="20"/>
          <w:color w:val="auto"/>
        </w:rPr>
      </w:pPr>
      <w:r>
        <w:rPr>
          <w:rFonts w:ascii="Times New Roman" w:cs="Times New Roman" w:eastAsia="Times New Roman" w:hAnsi="Times New Roman"/>
          <w:sz w:val="9"/>
          <w:szCs w:val="9"/>
          <w:color w:val="auto"/>
        </w:rPr>
        <w:t>(2)</w:t>
      </w:r>
      <w:r>
        <w:rPr>
          <w:rFonts w:ascii="Times New Roman" w:cs="Times New Roman" w:eastAsia="Times New Roman" w:hAnsi="Times New Roman"/>
          <w:sz w:val="14"/>
          <w:szCs w:val="14"/>
          <w:color w:val="auto"/>
        </w:rPr>
        <w:t>Excludes stock-based compensation.</w:t>
      </w:r>
    </w:p>
    <w:p>
      <w:pPr>
        <w:spacing w:after="0" w:line="11" w:lineRule="exact"/>
        <w:rPr>
          <w:sz w:val="20"/>
          <w:szCs w:val="20"/>
          <w:color w:val="auto"/>
        </w:rPr>
      </w:pPr>
    </w:p>
    <w:p>
      <w:pPr>
        <w:ind w:right="520"/>
        <w:spacing w:after="0" w:line="283" w:lineRule="auto"/>
        <w:rPr>
          <w:sz w:val="20"/>
          <w:szCs w:val="20"/>
          <w:color w:val="auto"/>
        </w:rPr>
      </w:pPr>
      <w:r>
        <w:rPr>
          <w:rFonts w:ascii="Times New Roman" w:cs="Times New Roman" w:eastAsia="Times New Roman" w:hAnsi="Times New Roman"/>
          <w:sz w:val="9"/>
          <w:szCs w:val="9"/>
          <w:color w:val="auto"/>
        </w:rPr>
        <w:t>(3)</w:t>
      </w:r>
      <w:r>
        <w:rPr>
          <w:rFonts w:ascii="Times New Roman" w:cs="Times New Roman" w:eastAsia="Times New Roman" w:hAnsi="Times New Roman"/>
          <w:sz w:val="14"/>
          <w:szCs w:val="14"/>
          <w:color w:val="auto"/>
        </w:rPr>
        <w:t>Includes restructuring expenses, acquisition-related expenses, cyber vulnerability response expenses, net, interest expense, interest income and other, net, foreign currency loss, net, and</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14"/>
          <w:szCs w:val="14"/>
          <w:color w:val="auto"/>
        </w:rPr>
        <w:t>provision for income taxes.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Cyber Related Matters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MOVEit Vulnerability</w:t>
      </w:r>
    </w:p>
    <w:p>
      <w:pPr>
        <w:spacing w:after="0" w:line="25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As previously disclosed, on the evening of May 28, 2023, we learned that our MOVEit Transfer (the on-premise version) and MOVEit Cloud (a cloud-hosted version of MOVEit Transfer) products were attacked by a threat actor who compromised and exfiltrated personal data from various customer-controlled MOVEit Transfer environments (the "MOVEit Vulnerability"). As a result of the MOVEit Vulnerability, we are party to certain class action lawsuits filed by individuals who claim to have been impacted by the exfiltration of data from the environments of our MOVEit Transfer customers, which have been centralized in multi-district litigation in the District of Massachusetts (the "MDL"). The MDL has also consolidated an insurance subrogation complaint (where an insurer is seeking recovery for expenses incurred on behalf of its insured in connection with the MOVEit Vulnerability) and, as of the date of this filing, one customer cross-claim. The MDL remains in a relatively early stage and is not expected to conclude within the next twelve months. Motions to dismiss were filed and partially granted in July 2025, then further partially granted in January 2026 in response to our motions for reconsideration. In all, the court has dismissed, in whole or in part, 23 of the 33 claims asserted by the plaintiffs in the MDL.</w:t>
      </w:r>
    </w:p>
    <w:p>
      <w:pPr>
        <w:spacing w:after="0" w:line="21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previously disclosed, we have also cooperated with inquiries and investigations from various governmental authorities, a number of which have been formally closed and, as of the date of this filing, have not resulted in any prosecution or enforcement actions.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color w:val="auto"/>
        </w:rPr>
        <w:t>Expenses Incurred and Future Costs</w:t>
      </w:r>
    </w:p>
    <w:p>
      <w:pPr>
        <w:spacing w:after="0" w:line="254"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During the three months ended February 28, 2026 and 2025, we incurred net costs of approximately $1.4 million and $0.7 million, respectively, related to the MOVEit Vulnerability. The costs recognized are net of insurance recoveries of $0.9 million and $0.7 million for the three months ended February 28, 2026 and 2025, respectively. The timing of recognizing insurance recoveries may differ from the timing of recognizing the associated expenses.</w:t>
      </w:r>
    </w:p>
    <w:p>
      <w:pPr>
        <w:spacing w:after="0" w:line="20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expect to continue to incur investigation, legal, and professional services expenses associated with the MOVEit Vulnerability in future periods. We will recognize these expenses as services are received, net of insurance recoveries. While a loss from these matters is reasonably possible, we cannot reasonably estimate a range of possible losses at this time, particularly while the foregoing matters remain ongoing. Furthermore, with respect to the MDL, the proceedings remain in the early stages, alleged damages have not been specified, there is uncertainty as to the likelihood of a class or classes being certified or the ultimate size of any class if certified, and there are significant factual and legal issues to be resolved. With respect to the governmental inquiries and investigations, we are currently unable to reasonably estimate any possible adverse judgments, settlements, fines, or penalties. Therefore, we have not recorded a loss contingency liability for the MOVEit Vulnerability as of February 28, 2026.</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Insurance Coverage</w:t>
      </w:r>
    </w:p>
    <w:p>
      <w:pPr>
        <w:spacing w:after="0" w:line="2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period when the MOVEit Vulnerability occurred, we maintained $15.0 million of cybersecurity insurance coverage, which is expected to reduce our exposure to expenses and liabilities arising from these events. As of February 28, 2026, we have approximately $3.5 million of remaining cybersecurity insurance coverage under the applicable policy. We will pursue recoveries to the maximum extent available under our insurance policies.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may contain information that are "forward-looking statements" within the meaning of Section 27A of the Securities Act of 1933, as amended; Section 21E of the Securities Exchange Act of 1934, as amended; and the Private Securities Litigation Reform Act of 1995. Whenever we use words such as "believe," "may," "could," "would," "might," "should," "expect," "intend," "plan," "estimate," "target," "anticipate" and negatives and derivatives of these or similar expressions, or when we make statements concerning future financial results, product offerings or other events that have not yet occurred, we are making forward-looking statements. Actual future results may differ materially from those contained in or implied by our forward-looking statements due to various factors which are more fully described in Part I, Item 1A. Risk Factors in our 2025 Annual Report as well as any risk factors described in Part II, Item 1A of this Quarterly Report on Form 10-Q. Although we have sought to identify the most significant risks to our business, we cannot predict whether, or to what extent, any of such risks may be realized. We also cannot assure you that we have identified all possible issues that we might face. We undertake no obligation to update any forward-looking statements that we make.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Progress Software Corporation ("Progress," the "Company," "we," "us," or "our") provides software products that enable our customers to develop, deploy and manage responsible AI-powered applications and digital experiences.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5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 xml:space="preserve">Management's discussion and analysis of financial condition and results of operations are based upon our consolidated financial statements, which have been prepared in accordance with GAAP. We make estimates and assumptions in the preparation of our consolidated financial statements that affect the reported amounts of assets and liabilities, revenue and expenses and related disclosures of contingent assets and liabilities. We base our estimates on historical experience and various other assumptions that are believed to be reasonable under the circumstances. However, actual results may differ from these estimates. The most significant estimates relate to revenue recognition, loss contingencies and the MOVEit Vulnerability, and business combinations. For further information regarding the application of these and other accounting policies, see Note 1, </w:t>
      </w:r>
      <w:r>
        <w:rPr>
          <w:rFonts w:ascii="Times New Roman" w:cs="Times New Roman" w:eastAsia="Times New Roman" w:hAnsi="Times New Roman"/>
          <w:sz w:val="18"/>
          <w:szCs w:val="18"/>
          <w:i w:val="1"/>
          <w:iCs w:val="1"/>
          <w:color w:val="auto"/>
        </w:rPr>
        <w:t>Nature of Business and Summary of 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Accounting Policies </w:t>
      </w:r>
      <w:r>
        <w:rPr>
          <w:rFonts w:ascii="Times New Roman" w:cs="Times New Roman" w:eastAsia="Times New Roman" w:hAnsi="Times New Roman"/>
          <w:sz w:val="18"/>
          <w:szCs w:val="18"/>
          <w:color w:val="auto"/>
        </w:rPr>
        <w:t>to our Consolidated Financial Statements in Item 8 of our 2025 Annual Report. There have been no significant changes to our critical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policies and estimates since our 2025 Annual Report.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Use of Constant Currency</w:t>
      </w:r>
    </w:p>
    <w:p>
      <w:pPr>
        <w:spacing w:after="0" w:line="25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Revenue from our international operations has historically represented a substantial portion of our total revenue. As a result, our revenue results have been impacted, and we expect will continue to be impacted, by fluctuations in foreign currency exchange rates. For example, if the local currencies of our foreign subsidiaries strengthen, our consolidated results stated in U.S. Dollars are positively impacted.</w:t>
      </w:r>
    </w:p>
    <w:p>
      <w:pPr>
        <w:spacing w:after="0" w:line="203"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As exchange rates are an important factor in understanding period to period comparisons, we believe the presentation of revenue growth rates on a constant currency basis enhances the understanding of our revenue results and evaluation of our performance in comparison to prior periods. The constant currency information presented is calculated by translating current period results using prior period weighted average foreign currency exchange rates. These results should be considered in addition to, not as a substitute for, results reported in accordance with accounting principles generally accepted in the United States of America.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59"/>
        </w:trPr>
        <w:tc>
          <w:tcPr>
            <w:tcW w:w="4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Revenue</w:t>
            </w: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99"/>
        </w:trPr>
        <w:tc>
          <w:tcPr>
            <w:tcW w:w="45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Three Months Ended</w:t>
            </w:r>
          </w:p>
        </w:tc>
        <w:tc>
          <w:tcPr>
            <w:tcW w:w="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60" w:type="dxa"/>
            <w:vAlign w:val="bottom"/>
            <w:tcBorders>
              <w:bottom w:val="single" w:sz="8" w:color="auto"/>
            </w:tcBorders>
            <w:gridSpan w:val="3"/>
          </w:tcPr>
          <w:p>
            <w:pPr>
              <w:jc w:val="right"/>
              <w:ind w:right="950"/>
              <w:spacing w:after="0"/>
              <w:rPr>
                <w:sz w:val="20"/>
                <w:szCs w:val="20"/>
                <w:color w:val="auto"/>
              </w:rPr>
            </w:pPr>
            <w:r>
              <w:rPr>
                <w:rFonts w:ascii="Times New Roman" w:cs="Times New Roman" w:eastAsia="Times New Roman" w:hAnsi="Times New Roman"/>
                <w:sz w:val="18"/>
                <w:szCs w:val="18"/>
                <w:color w:val="auto"/>
              </w:rPr>
              <w:t>Percentage Change</w:t>
            </w:r>
          </w:p>
        </w:tc>
      </w:tr>
      <w:tr>
        <w:trPr>
          <w:trHeight w:val="223"/>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February 28, 2026</w:t>
            </w:r>
          </w:p>
        </w:tc>
        <w:tc>
          <w:tcPr>
            <w:tcW w:w="1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February 28, 2025</w:t>
            </w:r>
          </w:p>
        </w:tc>
        <w:tc>
          <w:tcPr>
            <w:tcW w:w="120" w:type="dxa"/>
            <w:vAlign w:val="bottom"/>
          </w:tcPr>
          <w:p>
            <w:pPr>
              <w:spacing w:after="0"/>
              <w:rPr>
                <w:sz w:val="19"/>
                <w:szCs w:val="19"/>
                <w:color w:val="auto"/>
              </w:rPr>
            </w:pPr>
          </w:p>
        </w:tc>
        <w:tc>
          <w:tcPr>
            <w:tcW w:w="17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As Reported</w:t>
            </w:r>
          </w:p>
        </w:tc>
        <w:tc>
          <w:tcPr>
            <w:tcW w:w="16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Constant Currency</w:t>
            </w:r>
          </w:p>
        </w:tc>
      </w:tr>
      <w:tr>
        <w:trPr>
          <w:trHeight w:val="223"/>
        </w:trPr>
        <w:tc>
          <w:tcPr>
            <w:tcW w:w="4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247,799</w:t>
            </w:r>
          </w:p>
        </w:tc>
        <w:tc>
          <w:tcPr>
            <w:tcW w:w="12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238,015</w:t>
            </w:r>
          </w:p>
        </w:tc>
        <w:tc>
          <w:tcPr>
            <w:tcW w:w="12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bl>
    <w:p>
      <w:pPr>
        <w:spacing w:after="0" w:line="31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Total revenue increased as compared to the same period last year primarily due to increases in license sales of our OpenEdge product offering and a positive foreign currency impact.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3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Software Licenses Revenue</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500"/>
        </w:trPr>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60" w:type="dxa"/>
            <w:vAlign w:val="bottom"/>
            <w:gridSpan w:val="5"/>
          </w:tcPr>
          <w:p>
            <w:pPr>
              <w:ind w:left="800"/>
              <w:spacing w:after="0"/>
              <w:rPr>
                <w:sz w:val="20"/>
                <w:szCs w:val="20"/>
                <w:color w:val="auto"/>
              </w:rPr>
            </w:pPr>
            <w:r>
              <w:rPr>
                <w:rFonts w:ascii="Times New Roman" w:cs="Times New Roman" w:eastAsia="Times New Roman" w:hAnsi="Times New Roman"/>
                <w:sz w:val="18"/>
                <w:szCs w:val="18"/>
                <w:color w:val="auto"/>
              </w:rPr>
              <w:t>Three Months Ended</w:t>
            </w:r>
          </w:p>
        </w:tc>
        <w:tc>
          <w:tcPr>
            <w:tcW w:w="3400" w:type="dxa"/>
            <w:vAlign w:val="bottom"/>
            <w:gridSpan w:val="3"/>
          </w:tcPr>
          <w:p>
            <w:pPr>
              <w:jc w:val="right"/>
              <w:ind w:right="910"/>
              <w:spacing w:after="0"/>
              <w:rPr>
                <w:sz w:val="20"/>
                <w:szCs w:val="20"/>
                <w:color w:val="auto"/>
              </w:rPr>
            </w:pPr>
            <w:r>
              <w:rPr>
                <w:rFonts w:ascii="Times New Roman" w:cs="Times New Roman" w:eastAsia="Times New Roman" w:hAnsi="Times New Roman"/>
                <w:sz w:val="18"/>
                <w:szCs w:val="18"/>
                <w:color w:val="auto"/>
              </w:rPr>
              <w:t>Percentage Change</w:t>
            </w:r>
          </w:p>
        </w:tc>
      </w:tr>
      <w:tr>
        <w:trPr>
          <w:trHeight w:val="223"/>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February 28, 2026</w:t>
            </w:r>
          </w:p>
        </w:tc>
        <w:tc>
          <w:tcPr>
            <w:tcW w:w="12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February 28, 2025</w:t>
            </w:r>
          </w:p>
        </w:tc>
        <w:tc>
          <w:tcPr>
            <w:tcW w:w="120" w:type="dxa"/>
            <w:vAlign w:val="bottom"/>
          </w:tcPr>
          <w:p>
            <w:pPr>
              <w:spacing w:after="0"/>
              <w:rPr>
                <w:sz w:val="19"/>
                <w:szCs w:val="19"/>
                <w:color w:val="auto"/>
              </w:rPr>
            </w:pPr>
          </w:p>
        </w:tc>
        <w:tc>
          <w:tcPr>
            <w:tcW w:w="1760" w:type="dxa"/>
            <w:vAlign w:val="bottom"/>
            <w:tcBorders>
              <w:top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rPr>
              <w:t>As Reported</w:t>
            </w:r>
          </w:p>
        </w:tc>
        <w:tc>
          <w:tcPr>
            <w:tcW w:w="16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Constant Currency</w:t>
            </w:r>
          </w:p>
        </w:tc>
      </w:tr>
      <w:tr>
        <w:trPr>
          <w:trHeight w:val="223"/>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 licenses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67,581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58,445</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3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As a percentage of total revenue</w:t>
            </w: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27 %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25 %</w:t>
            </w: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bl>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Software licenses revenue increased in the first quarter of fiscal year 2026 primarily due to increases in our OpenEdge product offering.</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3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Maintenance, SaaS, and Professional Services Revenue</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43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Three Months Ended</w:t>
            </w: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0" w:type="dxa"/>
            <w:vAlign w:val="bottom"/>
            <w:tcBorders>
              <w:bottom w:val="single" w:sz="8" w:color="auto"/>
            </w:tcBorders>
            <w:gridSpan w:val="3"/>
          </w:tcPr>
          <w:p>
            <w:pPr>
              <w:jc w:val="right"/>
              <w:ind w:right="910"/>
              <w:spacing w:after="0"/>
              <w:rPr>
                <w:sz w:val="20"/>
                <w:szCs w:val="20"/>
                <w:color w:val="auto"/>
              </w:rPr>
            </w:pPr>
            <w:r>
              <w:rPr>
                <w:rFonts w:ascii="Times New Roman" w:cs="Times New Roman" w:eastAsia="Times New Roman" w:hAnsi="Times New Roman"/>
                <w:sz w:val="18"/>
                <w:szCs w:val="18"/>
                <w:color w:val="auto"/>
              </w:rPr>
              <w:t>Percentage Change</w:t>
            </w:r>
          </w:p>
        </w:tc>
        <w:tc>
          <w:tcPr>
            <w:tcW w:w="0" w:type="dxa"/>
            <w:vAlign w:val="bottom"/>
          </w:tcPr>
          <w:p>
            <w:pPr>
              <w:spacing w:after="0"/>
              <w:rPr>
                <w:sz w:val="1"/>
                <w:szCs w:val="1"/>
                <w:color w:val="auto"/>
              </w:rPr>
            </w:pPr>
          </w:p>
        </w:tc>
      </w:tr>
      <w:tr>
        <w:trPr>
          <w:trHeight w:val="223"/>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9"/>
                <w:szCs w:val="19"/>
                <w:color w:val="auto"/>
              </w:rPr>
            </w:pP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28, 2026</w:t>
            </w:r>
          </w:p>
        </w:tc>
        <w:tc>
          <w:tcPr>
            <w:tcW w:w="16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February 28, 2025</w:t>
            </w:r>
          </w:p>
        </w:tc>
        <w:tc>
          <w:tcPr>
            <w:tcW w:w="120" w:type="dxa"/>
            <w:vAlign w:val="bottom"/>
          </w:tcPr>
          <w:p>
            <w:pPr>
              <w:spacing w:after="0"/>
              <w:rPr>
                <w:sz w:val="19"/>
                <w:szCs w:val="19"/>
                <w:color w:val="auto"/>
              </w:rPr>
            </w:pPr>
          </w:p>
        </w:tc>
        <w:tc>
          <w:tcPr>
            <w:tcW w:w="17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As Reported</w:t>
            </w:r>
          </w:p>
        </w:tc>
        <w:tc>
          <w:tcPr>
            <w:tcW w:w="1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Constant Currency</w:t>
            </w:r>
          </w:p>
        </w:tc>
        <w:tc>
          <w:tcPr>
            <w:tcW w:w="0" w:type="dxa"/>
            <w:vAlign w:val="bottom"/>
          </w:tcPr>
          <w:p>
            <w:pPr>
              <w:spacing w:after="0"/>
              <w:rPr>
                <w:sz w:val="1"/>
                <w:szCs w:val="1"/>
                <w:color w:val="auto"/>
              </w:rPr>
            </w:pPr>
          </w:p>
        </w:tc>
      </w:tr>
      <w:tr>
        <w:trPr>
          <w:trHeight w:val="223"/>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Maintenance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100,339</w:t>
            </w:r>
          </w:p>
        </w:tc>
        <w:tc>
          <w:tcPr>
            <w:tcW w:w="12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99,535</w:t>
            </w:r>
          </w:p>
        </w:tc>
        <w:tc>
          <w:tcPr>
            <w:tcW w:w="12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As a percentage of total revenue</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40 %</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42 %</w:t>
            </w: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SaaS</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70,461</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69,410</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As a percentage of total revenue</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9,418</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10,625</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As a percentage of total revenue</w:t>
            </w: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4 %</w:t>
            </w: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4 %</w:t>
            </w:r>
          </w:p>
        </w:tc>
        <w:tc>
          <w:tcPr>
            <w:tcW w:w="12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maintenance, SaaS, and professional services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180,218</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179,570</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As a percentage of total revenue</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73 %</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75 %</w:t>
            </w: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12" w:lineRule="exact"/>
        <w:rPr>
          <w:sz w:val="20"/>
          <w:szCs w:val="20"/>
          <w:color w:val="auto"/>
        </w:rPr>
      </w:pPr>
    </w:p>
    <w:p>
      <w:pPr>
        <w:ind w:right="120"/>
        <w:spacing w:after="0" w:line="312" w:lineRule="auto"/>
        <w:rPr>
          <w:sz w:val="20"/>
          <w:szCs w:val="20"/>
          <w:color w:val="auto"/>
        </w:rPr>
      </w:pPr>
      <w:r>
        <w:rPr>
          <w:rFonts w:ascii="Times New Roman" w:cs="Times New Roman" w:eastAsia="Times New Roman" w:hAnsi="Times New Roman"/>
          <w:sz w:val="17"/>
          <w:szCs w:val="17"/>
          <w:color w:val="auto"/>
        </w:rPr>
        <w:t>Maintenance revenue increased in the first quarter of fiscal year 2026 due to a positive foreign currency impact. SaaS revenue slightly increased as compared to the same period last year. Professional services revenue decreased across multiple product offerings as compared to the same period last year.</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6"/>
        </w:trPr>
        <w:tc>
          <w:tcPr>
            <w:tcW w:w="60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Cost of Software Licenses</w:t>
            </w: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56"/>
        </w:trPr>
        <w:tc>
          <w:tcPr>
            <w:tcW w:w="60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1680" w:type="dxa"/>
            <w:vAlign w:val="bottom"/>
            <w:tcBorders>
              <w:bottom w:val="single" w:sz="8" w:color="auto"/>
            </w:tcBorders>
          </w:tcPr>
          <w:p>
            <w:pPr>
              <w:spacing w:after="0"/>
              <w:rPr>
                <w:sz w:val="22"/>
                <w:szCs w:val="22"/>
                <w:color w:val="auto"/>
              </w:rPr>
            </w:pP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9"/>
                <w:szCs w:val="19"/>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February 28, 2026</w:t>
            </w:r>
          </w:p>
        </w:tc>
        <w:tc>
          <w:tcPr>
            <w:tcW w:w="140" w:type="dxa"/>
            <w:vAlign w:val="bottom"/>
          </w:tcPr>
          <w:p>
            <w:pPr>
              <w:spacing w:after="0"/>
              <w:rPr>
                <w:sz w:val="19"/>
                <w:szCs w:val="19"/>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February 28, 2025</w:t>
            </w:r>
          </w:p>
        </w:tc>
        <w:tc>
          <w:tcPr>
            <w:tcW w:w="1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Percentage Change</w:t>
            </w:r>
          </w:p>
        </w:tc>
      </w:tr>
      <w:tr>
        <w:trPr>
          <w:trHeight w:val="223"/>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software licenses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3,013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2,925</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36"/>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As a percentage of software licenses revenue</w:t>
            </w: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5 %</w:t>
            </w: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bl>
    <w:p>
      <w:pPr>
        <w:spacing w:after="0" w:line="31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Cost of software licenses consists primarily of royalties, electronic software distribution, duplication, and packaging. Cost of software licenses as a percentage of software license revenue varies from period to period depending upon the relative product mix. The increase in the first quarter of fiscal year 2026 compared to the same period last year was related to increased royalty costs.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0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Cost of Maintenance, SaaS, and Professional Services</w:t>
            </w: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99"/>
        </w:trPr>
        <w:tc>
          <w:tcPr>
            <w:tcW w:w="60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1680" w:type="dxa"/>
            <w:vAlign w:val="bottom"/>
            <w:tcBorders>
              <w:bottom w:val="single" w:sz="8" w:color="auto"/>
            </w:tcBorders>
          </w:tcPr>
          <w:p>
            <w:pPr>
              <w:spacing w:after="0"/>
              <w:rPr>
                <w:sz w:val="24"/>
                <w:szCs w:val="24"/>
                <w:color w:val="auto"/>
              </w:rPr>
            </w:pP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9"/>
                <w:szCs w:val="19"/>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February 28, 2026</w:t>
            </w:r>
          </w:p>
        </w:tc>
        <w:tc>
          <w:tcPr>
            <w:tcW w:w="140" w:type="dxa"/>
            <w:vAlign w:val="bottom"/>
          </w:tcPr>
          <w:p>
            <w:pPr>
              <w:spacing w:after="0"/>
              <w:rPr>
                <w:sz w:val="19"/>
                <w:szCs w:val="19"/>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February 28, 2025</w:t>
            </w:r>
          </w:p>
        </w:tc>
        <w:tc>
          <w:tcPr>
            <w:tcW w:w="1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Percentage Change</w:t>
            </w:r>
          </w:p>
        </w:tc>
      </w:tr>
      <w:tr>
        <w:trPr>
          <w:trHeight w:val="223"/>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maintenance, SaaS, and professional services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32,100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32,884</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6"/>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As a percentage of maintenance, SaaS, and professional services revenue</w:t>
            </w: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18 %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18 %</w:t>
            </w: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bl>
    <w:p>
      <w:pPr>
        <w:spacing w:after="0" w:line="29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Cost of maintenance, SaaS, and professional services consist primarily of hosting costs, and personnel-related costs attributable to customer support, cloud operations, consulting, and education. The decrease year-over-year was primarily due to decreased contractors and headcount related costs in fiscal year 2026.</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of Acquired Intangibles – Costs of Revenue</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1680" w:type="dxa"/>
            <w:vAlign w:val="bottom"/>
            <w:tcBorders>
              <w:bottom w:val="single" w:sz="8" w:color="auto"/>
            </w:tcBorders>
          </w:tcPr>
          <w:p>
            <w:pPr>
              <w:spacing w:after="0"/>
              <w:rPr>
                <w:sz w:val="20"/>
                <w:szCs w:val="20"/>
                <w:color w:val="auto"/>
              </w:rPr>
            </w:pP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9"/>
                <w:szCs w:val="19"/>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February 28, 2026</w:t>
            </w:r>
          </w:p>
        </w:tc>
        <w:tc>
          <w:tcPr>
            <w:tcW w:w="140" w:type="dxa"/>
            <w:vAlign w:val="bottom"/>
          </w:tcPr>
          <w:p>
            <w:pPr>
              <w:spacing w:after="0"/>
              <w:rPr>
                <w:sz w:val="19"/>
                <w:szCs w:val="19"/>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February 28, 2025</w:t>
            </w:r>
          </w:p>
        </w:tc>
        <w:tc>
          <w:tcPr>
            <w:tcW w:w="1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Percentage Change</w:t>
            </w:r>
          </w:p>
        </w:tc>
      </w:tr>
      <w:tr>
        <w:trPr>
          <w:trHeight w:val="223"/>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acquired intangibles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8,751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10,422</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6"/>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As a percentage of total revenue</w:t>
            </w: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4 %</w:t>
            </w: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bl>
    <w:p>
      <w:pPr>
        <w:spacing w:after="0" w:line="312" w:lineRule="exact"/>
        <w:rPr>
          <w:sz w:val="20"/>
          <w:szCs w:val="20"/>
          <w:color w:val="auto"/>
        </w:rPr>
      </w:pPr>
    </w:p>
    <w:p>
      <w:pPr>
        <w:jc w:val="both"/>
        <w:ind w:right="580"/>
        <w:spacing w:after="0" w:line="266" w:lineRule="auto"/>
        <w:rPr>
          <w:sz w:val="20"/>
          <w:szCs w:val="20"/>
          <w:color w:val="auto"/>
        </w:rPr>
      </w:pPr>
      <w:r>
        <w:rPr>
          <w:rFonts w:ascii="Times New Roman" w:cs="Times New Roman" w:eastAsia="Times New Roman" w:hAnsi="Times New Roman"/>
          <w:sz w:val="18"/>
          <w:szCs w:val="18"/>
          <w:color w:val="auto"/>
        </w:rPr>
        <w:t>Amortization of acquired intangibles included in costs of revenue primarily represents the amortization of the value assigned to technology-related intangible assets obtained in business combinations. The year-over-year decrease is due to certain existing intangible assets being fully amortized as compared to the prior period.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0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99"/>
        </w:trPr>
        <w:tc>
          <w:tcPr>
            <w:tcW w:w="60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1680" w:type="dxa"/>
            <w:vAlign w:val="bottom"/>
            <w:tcBorders>
              <w:bottom w:val="single" w:sz="8" w:color="auto"/>
            </w:tcBorders>
          </w:tcPr>
          <w:p>
            <w:pPr>
              <w:spacing w:after="0"/>
              <w:rPr>
                <w:sz w:val="24"/>
                <w:szCs w:val="24"/>
                <w:color w:val="auto"/>
              </w:rPr>
            </w:pP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9"/>
                <w:szCs w:val="19"/>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February 28, 2026</w:t>
            </w:r>
          </w:p>
        </w:tc>
        <w:tc>
          <w:tcPr>
            <w:tcW w:w="140" w:type="dxa"/>
            <w:vAlign w:val="bottom"/>
          </w:tcPr>
          <w:p>
            <w:pPr>
              <w:spacing w:after="0"/>
              <w:rPr>
                <w:sz w:val="19"/>
                <w:szCs w:val="19"/>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February 28, 2025</w:t>
            </w:r>
          </w:p>
        </w:tc>
        <w:tc>
          <w:tcPr>
            <w:tcW w:w="1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Percentage Change</w:t>
            </w:r>
          </w:p>
        </w:tc>
      </w:tr>
      <w:tr>
        <w:trPr>
          <w:trHeight w:val="223"/>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51,997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51,296</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6"/>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As a percentage of total revenue</w:t>
            </w: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21 %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22 %</w:t>
            </w: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bl>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and marketing expenses increased due to increased marketing and sales events costs, partially offset by lower personnel-related costs.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6"/>
        </w:trPr>
        <w:tc>
          <w:tcPr>
            <w:tcW w:w="60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Product Development</w:t>
            </w: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99"/>
        </w:trPr>
        <w:tc>
          <w:tcPr>
            <w:tcW w:w="60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1680" w:type="dxa"/>
            <w:vAlign w:val="bottom"/>
            <w:tcBorders>
              <w:bottom w:val="single" w:sz="8" w:color="auto"/>
            </w:tcBorders>
          </w:tcPr>
          <w:p>
            <w:pPr>
              <w:spacing w:after="0"/>
              <w:rPr>
                <w:sz w:val="24"/>
                <w:szCs w:val="24"/>
                <w:color w:val="auto"/>
              </w:rPr>
            </w:pP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9"/>
                <w:szCs w:val="19"/>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February 28, 2026</w:t>
            </w:r>
          </w:p>
        </w:tc>
        <w:tc>
          <w:tcPr>
            <w:tcW w:w="140" w:type="dxa"/>
            <w:vAlign w:val="bottom"/>
          </w:tcPr>
          <w:p>
            <w:pPr>
              <w:spacing w:after="0"/>
              <w:rPr>
                <w:sz w:val="19"/>
                <w:szCs w:val="19"/>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February 28, 2025</w:t>
            </w:r>
          </w:p>
        </w:tc>
        <w:tc>
          <w:tcPr>
            <w:tcW w:w="1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Percentage Change</w:t>
            </w:r>
          </w:p>
        </w:tc>
      </w:tr>
      <w:tr>
        <w:trPr>
          <w:trHeight w:val="223"/>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50,474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46,375</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36"/>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As a percentage of total revenue</w:t>
            </w: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20 %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19 %</w:t>
            </w: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development expenses increased primarily due to increased personnel-related costs associated with higher headcount.</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0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99"/>
        </w:trPr>
        <w:tc>
          <w:tcPr>
            <w:tcW w:w="60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1680" w:type="dxa"/>
            <w:vAlign w:val="bottom"/>
            <w:tcBorders>
              <w:bottom w:val="single" w:sz="8" w:color="auto"/>
            </w:tcBorders>
          </w:tcPr>
          <w:p>
            <w:pPr>
              <w:spacing w:after="0"/>
              <w:rPr>
                <w:sz w:val="24"/>
                <w:szCs w:val="24"/>
                <w:color w:val="auto"/>
              </w:rPr>
            </w:pP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9"/>
                <w:szCs w:val="19"/>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February 28, 2026</w:t>
            </w:r>
          </w:p>
        </w:tc>
        <w:tc>
          <w:tcPr>
            <w:tcW w:w="140" w:type="dxa"/>
            <w:vAlign w:val="bottom"/>
          </w:tcPr>
          <w:p>
            <w:pPr>
              <w:spacing w:after="0"/>
              <w:rPr>
                <w:sz w:val="19"/>
                <w:szCs w:val="19"/>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February 28, 2025</w:t>
            </w:r>
          </w:p>
        </w:tc>
        <w:tc>
          <w:tcPr>
            <w:tcW w:w="1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Percentage Change</w:t>
            </w:r>
          </w:p>
        </w:tc>
      </w:tr>
      <w:tr>
        <w:trPr>
          <w:trHeight w:val="223"/>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26,504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25,623</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36"/>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As a percentage of total revenue</w:t>
            </w: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11 %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11 %</w:t>
            </w: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bl>
    <w:p>
      <w:pPr>
        <w:spacing w:after="0" w:line="29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include the costs of our finance, human resources, legal, information systems, and administrative departments. The increase was due to higher stock-based compensation expense, partially offset by lower contractors and outside services and other general and administrative costs.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0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Amortization of Acquired Intangibles – Operating Expenses</w:t>
            </w: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99"/>
        </w:trPr>
        <w:tc>
          <w:tcPr>
            <w:tcW w:w="60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1680" w:type="dxa"/>
            <w:vAlign w:val="bottom"/>
            <w:tcBorders>
              <w:bottom w:val="single" w:sz="8" w:color="auto"/>
            </w:tcBorders>
          </w:tcPr>
          <w:p>
            <w:pPr>
              <w:spacing w:after="0"/>
              <w:rPr>
                <w:sz w:val="24"/>
                <w:szCs w:val="24"/>
                <w:color w:val="auto"/>
              </w:rPr>
            </w:pP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9"/>
                <w:szCs w:val="19"/>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February 28, 2026</w:t>
            </w:r>
          </w:p>
        </w:tc>
        <w:tc>
          <w:tcPr>
            <w:tcW w:w="140" w:type="dxa"/>
            <w:vAlign w:val="bottom"/>
          </w:tcPr>
          <w:p>
            <w:pPr>
              <w:spacing w:after="0"/>
              <w:rPr>
                <w:sz w:val="19"/>
                <w:szCs w:val="19"/>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February 28, 2025</w:t>
            </w:r>
          </w:p>
        </w:tc>
        <w:tc>
          <w:tcPr>
            <w:tcW w:w="1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Percentage Change</w:t>
            </w:r>
          </w:p>
        </w:tc>
      </w:tr>
      <w:tr>
        <w:trPr>
          <w:trHeight w:val="223"/>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acquired intangibles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25,617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25,808</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6"/>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As a percentage of total revenue</w:t>
            </w: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10 %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11 %</w:t>
            </w: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bl>
    <w:p>
      <w:pPr>
        <w:spacing w:after="0" w:line="31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Amortization of acquired intangibles included in operating expenses primarily represents the amortization of value assigned to intangible assets obtained in business combinations other than assets identified as purchased technology. Amortization of acquired intangibles decreased in the first quarter of fiscal year 2026 due to certain existing intangible assets being fully amortized as compared to the prior period.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0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Cyber Vulnerability Response Expenses, Net</w:t>
            </w: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500"/>
        </w:trPr>
        <w:tc>
          <w:tcPr>
            <w:tcW w:w="60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1680" w:type="dxa"/>
            <w:vAlign w:val="bottom"/>
            <w:tcBorders>
              <w:bottom w:val="single" w:sz="8" w:color="auto"/>
            </w:tcBorders>
          </w:tcPr>
          <w:p>
            <w:pPr>
              <w:spacing w:after="0"/>
              <w:rPr>
                <w:sz w:val="24"/>
                <w:szCs w:val="24"/>
                <w:color w:val="auto"/>
              </w:rPr>
            </w:pP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9"/>
                <w:szCs w:val="19"/>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February 28, 2026</w:t>
            </w:r>
          </w:p>
        </w:tc>
        <w:tc>
          <w:tcPr>
            <w:tcW w:w="140" w:type="dxa"/>
            <w:vAlign w:val="bottom"/>
          </w:tcPr>
          <w:p>
            <w:pPr>
              <w:spacing w:after="0"/>
              <w:rPr>
                <w:sz w:val="19"/>
                <w:szCs w:val="19"/>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February 28, 2025</w:t>
            </w:r>
          </w:p>
        </w:tc>
        <w:tc>
          <w:tcPr>
            <w:tcW w:w="1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Percentage Change</w:t>
            </w:r>
          </w:p>
        </w:tc>
      </w:tr>
      <w:tr>
        <w:trPr>
          <w:trHeight w:val="223"/>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Cyber vulnerability response expenses, net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1,358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r>
      <w:tr>
        <w:trPr>
          <w:trHeight w:val="236"/>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As a percentage of total revenue</w:t>
            </w: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2"/>
          </w:tcPr>
          <w:p>
            <w:pPr>
              <w:ind w:left="1140"/>
              <w:spacing w:after="0"/>
              <w:rPr>
                <w:sz w:val="20"/>
                <w:szCs w:val="20"/>
                <w:color w:val="auto"/>
              </w:rPr>
            </w:pPr>
            <w:r>
              <w:rPr>
                <w:rFonts w:ascii="Times New Roman" w:cs="Times New Roman" w:eastAsia="Times New Roman" w:hAnsi="Times New Roman"/>
                <w:sz w:val="18"/>
                <w:szCs w:val="18"/>
                <w:i w:val="1"/>
                <w:iCs w:val="1"/>
                <w:color w:val="auto"/>
              </w:rPr>
              <w:t>— %</w:t>
            </w:r>
          </w:p>
        </w:tc>
        <w:tc>
          <w:tcPr>
            <w:tcW w:w="1680" w:type="dxa"/>
            <w:vAlign w:val="bottom"/>
          </w:tcPr>
          <w:p>
            <w:pPr>
              <w:spacing w:after="0"/>
              <w:rPr>
                <w:sz w:val="20"/>
                <w:szCs w:val="20"/>
                <w:color w:val="auto"/>
              </w:rPr>
            </w:pPr>
          </w:p>
        </w:tc>
      </w:tr>
    </w:tbl>
    <w:p>
      <w:pPr>
        <w:spacing w:after="0" w:line="312"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 xml:space="preserve">As previously disclosed, since the discovery of the MOVEit Vulnerability that was disclosed on June 5, 2023, we have incurred expenses and will incur future costs related to litigation and governmental investigations related to the MOVEit Vulnerability. Such costs and expenses are net of received and expected insurance recoveries. Please refer to Note 12, </w:t>
      </w:r>
      <w:r>
        <w:rPr>
          <w:rFonts w:ascii="Times New Roman" w:cs="Times New Roman" w:eastAsia="Times New Roman" w:hAnsi="Times New Roman"/>
          <w:sz w:val="18"/>
          <w:szCs w:val="18"/>
          <w:i w:val="1"/>
          <w:iCs w:val="1"/>
          <w:color w:val="auto"/>
        </w:rPr>
        <w:t>Cyber Related Matters</w:t>
      </w:r>
      <w:r>
        <w:rPr>
          <w:rFonts w:ascii="Times New Roman" w:cs="Times New Roman" w:eastAsia="Times New Roman" w:hAnsi="Times New Roman"/>
          <w:sz w:val="18"/>
          <w:szCs w:val="18"/>
          <w:color w:val="auto"/>
        </w:rPr>
        <w:t xml:space="preserve"> for additional details and updates regarding the MOVEit Vulnerability.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6"/>
        </w:trPr>
        <w:tc>
          <w:tcPr>
            <w:tcW w:w="60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Restructuring Expenses</w:t>
            </w: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56"/>
        </w:trPr>
        <w:tc>
          <w:tcPr>
            <w:tcW w:w="60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1680" w:type="dxa"/>
            <w:vAlign w:val="bottom"/>
            <w:tcBorders>
              <w:bottom w:val="single" w:sz="8" w:color="auto"/>
            </w:tcBorders>
          </w:tcPr>
          <w:p>
            <w:pPr>
              <w:spacing w:after="0"/>
              <w:rPr>
                <w:sz w:val="22"/>
                <w:szCs w:val="22"/>
                <w:color w:val="auto"/>
              </w:rPr>
            </w:pP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9"/>
                <w:szCs w:val="19"/>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February 28, 2026</w:t>
            </w:r>
          </w:p>
        </w:tc>
        <w:tc>
          <w:tcPr>
            <w:tcW w:w="140" w:type="dxa"/>
            <w:vAlign w:val="bottom"/>
          </w:tcPr>
          <w:p>
            <w:pPr>
              <w:spacing w:after="0"/>
              <w:rPr>
                <w:sz w:val="19"/>
                <w:szCs w:val="19"/>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February 28, 2025</w:t>
            </w:r>
          </w:p>
        </w:tc>
        <w:tc>
          <w:tcPr>
            <w:tcW w:w="1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Percentage Change</w:t>
            </w:r>
          </w:p>
        </w:tc>
      </w:tr>
      <w:tr>
        <w:trPr>
          <w:trHeight w:val="223"/>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expenses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706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7,029</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36"/>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As a percentage of total revenue</w:t>
            </w:r>
          </w:p>
        </w:tc>
        <w:tc>
          <w:tcPr>
            <w:tcW w:w="140" w:type="dxa"/>
            <w:vAlign w:val="bottom"/>
          </w:tcPr>
          <w:p>
            <w:pPr>
              <w:spacing w:after="0"/>
              <w:rPr>
                <w:sz w:val="20"/>
                <w:szCs w:val="20"/>
                <w:color w:val="auto"/>
              </w:rPr>
            </w:pPr>
          </w:p>
        </w:tc>
        <w:tc>
          <w:tcPr>
            <w:tcW w:w="1640" w:type="dxa"/>
            <w:vAlign w:val="bottom"/>
            <w:gridSpan w:val="2"/>
          </w:tcPr>
          <w:p>
            <w:pPr>
              <w:ind w:left="1140"/>
              <w:spacing w:after="0"/>
              <w:rPr>
                <w:sz w:val="20"/>
                <w:szCs w:val="20"/>
                <w:color w:val="auto"/>
              </w:rPr>
            </w:pPr>
            <w:r>
              <w:rPr>
                <w:rFonts w:ascii="Times New Roman" w:cs="Times New Roman" w:eastAsia="Times New Roman" w:hAnsi="Times New Roman"/>
                <w:sz w:val="18"/>
                <w:szCs w:val="18"/>
                <w:i w:val="1"/>
                <w:iCs w:val="1"/>
                <w:color w:val="auto"/>
              </w:rPr>
              <w:t>— %</w:t>
            </w: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3 %</w:t>
            </w: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bl>
    <w:p>
      <w:pPr>
        <w:spacing w:after="0" w:line="312"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 xml:space="preserve">Restructuring expenses recorded in the first quarter of fiscal year 2026 primarily relate to the headcount reduction action in November 2025, and facility closures in other existing restructuring actions. Restructuring expenses recorded in the first quarter of fiscal year 2025 primarily relate to headcount reductions and a facility closure in connection with the restructuring action related to the ShareFile acquisition in November 2024. See Note 9, </w:t>
      </w:r>
      <w:r>
        <w:rPr>
          <w:rFonts w:ascii="Times New Roman" w:cs="Times New Roman" w:eastAsia="Times New Roman" w:hAnsi="Times New Roman"/>
          <w:sz w:val="18"/>
          <w:szCs w:val="18"/>
          <w:i w:val="1"/>
          <w:iCs w:val="1"/>
          <w:color w:val="auto"/>
        </w:rPr>
        <w:t xml:space="preserve">Restructuring </w:t>
      </w:r>
      <w:r>
        <w:rPr>
          <w:rFonts w:ascii="Times New Roman" w:cs="Times New Roman" w:eastAsia="Times New Roman" w:hAnsi="Times New Roman"/>
          <w:sz w:val="18"/>
          <w:szCs w:val="18"/>
          <w:color w:val="auto"/>
        </w:rPr>
        <w:t>for additional details, including types of expenses incurred and the timing of future expenses and cash payments.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0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Acquisition-Related Expenses</w:t>
            </w: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38"/>
        </w:trPr>
        <w:tc>
          <w:tcPr>
            <w:tcW w:w="60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1680" w:type="dxa"/>
            <w:vAlign w:val="bottom"/>
            <w:tcBorders>
              <w:bottom w:val="single" w:sz="8" w:color="auto"/>
            </w:tcBorders>
          </w:tcPr>
          <w:p>
            <w:pPr>
              <w:spacing w:after="0"/>
              <w:rPr>
                <w:sz w:val="24"/>
                <w:szCs w:val="24"/>
                <w:color w:val="auto"/>
              </w:rPr>
            </w:pP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9"/>
                <w:szCs w:val="19"/>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February 28, 2026</w:t>
            </w:r>
          </w:p>
        </w:tc>
        <w:tc>
          <w:tcPr>
            <w:tcW w:w="140" w:type="dxa"/>
            <w:vAlign w:val="bottom"/>
          </w:tcPr>
          <w:p>
            <w:pPr>
              <w:spacing w:after="0"/>
              <w:rPr>
                <w:sz w:val="19"/>
                <w:szCs w:val="19"/>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February 28, 2025</w:t>
            </w:r>
          </w:p>
        </w:tc>
        <w:tc>
          <w:tcPr>
            <w:tcW w:w="1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Percentage Change</w:t>
            </w:r>
          </w:p>
        </w:tc>
      </w:tr>
      <w:tr>
        <w:trPr>
          <w:trHeight w:val="223"/>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814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2,490</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6"/>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As a percentage of total revenue</w:t>
            </w:r>
          </w:p>
        </w:tc>
        <w:tc>
          <w:tcPr>
            <w:tcW w:w="140" w:type="dxa"/>
            <w:vAlign w:val="bottom"/>
          </w:tcPr>
          <w:p>
            <w:pPr>
              <w:spacing w:after="0"/>
              <w:rPr>
                <w:sz w:val="20"/>
                <w:szCs w:val="20"/>
                <w:color w:val="auto"/>
              </w:rPr>
            </w:pPr>
          </w:p>
        </w:tc>
        <w:tc>
          <w:tcPr>
            <w:tcW w:w="1640" w:type="dxa"/>
            <w:vAlign w:val="bottom"/>
            <w:gridSpan w:val="2"/>
          </w:tcPr>
          <w:p>
            <w:pPr>
              <w:ind w:left="1140"/>
              <w:spacing w:after="0"/>
              <w:rPr>
                <w:sz w:val="20"/>
                <w:szCs w:val="20"/>
                <w:color w:val="auto"/>
              </w:rPr>
            </w:pPr>
            <w:r>
              <w:rPr>
                <w:rFonts w:ascii="Times New Roman" w:cs="Times New Roman" w:eastAsia="Times New Roman" w:hAnsi="Times New Roman"/>
                <w:sz w:val="18"/>
                <w:szCs w:val="18"/>
                <w:i w:val="1"/>
                <w:iCs w:val="1"/>
                <w:color w:val="auto"/>
              </w:rPr>
              <w:t>— %</w:t>
            </w: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1 %</w:t>
            </w: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bl>
    <w:p>
      <w:pPr>
        <w:spacing w:after="0" w:line="31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Acquisition-related costs are expensed as incurred and include those costs incurred as a result of business combinations. These costs consist of professional service fees, including third-party legal and valuation-related fees. Acquisition-related expenses in the first quarter of fiscal year 2026 primarily related to our pursuit of other acquisition opportunities. Acquisition-related expenses in the same period of fiscal year 2025 were primarily related to our acquisition of ShareFile.</w:t>
      </w:r>
    </w:p>
    <w:p>
      <w:pPr>
        <w:sectPr>
          <w:pgSz w:w="11900" w:h="16838" w:orient="portrait"/>
          <w:cols w:equalWidth="0" w:num="1">
            <w:col w:w="11240"/>
          </w:cols>
          <w:pgMar w:left="320" w:top="767" w:right="339" w:bottom="1440" w:gutter="0" w:footer="0" w:header="0"/>
        </w:sect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Income</w:t>
      </w: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 income and other, net</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Foreign currency loss, net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other expense, net</w:t>
      </w:r>
    </w:p>
    <w:p>
      <w:pPr>
        <w:spacing w:after="0" w:line="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As a percentage of total revenue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Three Months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4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February 28, 2026</w:t>
            </w:r>
          </w:p>
        </w:tc>
        <w:tc>
          <w:tcPr>
            <w:tcW w:w="14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February 28, 2025</w:t>
            </w:r>
          </w:p>
        </w:tc>
        <w:tc>
          <w:tcPr>
            <w:tcW w:w="168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Percentage Change</w:t>
            </w:r>
          </w:p>
        </w:tc>
      </w:tr>
      <w:tr>
        <w:trPr>
          <w:trHeight w:val="218"/>
        </w:trPr>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(15,246)</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(18,429)</w:t>
            </w:r>
          </w:p>
        </w:tc>
        <w:tc>
          <w:tcPr>
            <w:tcW w:w="100" w:type="dxa"/>
            <w:vAlign w:val="bottom"/>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140" w:type="dxa"/>
            <w:vAlign w:val="bottom"/>
          </w:tcPr>
          <w:p>
            <w:pPr>
              <w:spacing w:after="0"/>
              <w:rPr>
                <w:sz w:val="19"/>
                <w:szCs w:val="19"/>
                <w:color w:val="auto"/>
              </w:rPr>
            </w:pP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4"/>
        </w:trPr>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(1,244)</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(1,182)</w:t>
            </w:r>
          </w:p>
        </w:tc>
        <w:tc>
          <w:tcPr>
            <w:tcW w:w="100" w:type="dxa"/>
            <w:vAlign w:val="bottom"/>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23"/>
        </w:trPr>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(16,173)</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(19,124)</w:t>
            </w:r>
          </w:p>
        </w:tc>
        <w:tc>
          <w:tcPr>
            <w:tcW w:w="10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30"/>
        </w:trPr>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(8)%</w:t>
            </w: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-3816985</wp:posOffset>
            </wp:positionH>
            <wp:positionV relativeFrom="paragraph">
              <wp:posOffset>-783590</wp:posOffset>
            </wp:positionV>
            <wp:extent cx="713232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-3816985</wp:posOffset>
            </wp:positionH>
            <wp:positionV relativeFrom="paragraph">
              <wp:posOffset>-483870</wp:posOffset>
            </wp:positionV>
            <wp:extent cx="7132320"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-3816985</wp:posOffset>
            </wp:positionH>
            <wp:positionV relativeFrom="paragraph">
              <wp:posOffset>-166370</wp:posOffset>
            </wp:positionV>
            <wp:extent cx="7132320"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00" w:space="720"/>
            <w:col w:w="5220"/>
          </w:cols>
          <w:pgMar w:left="320" w:top="767" w:right="339" w:bottom="1440" w:gutter="0" w:footer="0" w:header="0"/>
          <w:type w:val="continuous"/>
        </w:sectPr>
      </w:pPr>
    </w:p>
    <w:p>
      <w:pPr>
        <w:spacing w:after="0" w:line="193"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 xml:space="preserve">Total other expense, net, decreased in the first quarter of fiscal year 2026 as compared to the same period last year primarily due to a decrease in interest expense resulting from principal payments made on our revolving line of credit. Refer to Note 5,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further discussion. Foreign currency loss increased year-over-year due to rate volatility and timing of intercompany and hedge settlement activities.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1680" w:type="dxa"/>
            <w:vAlign w:val="bottom"/>
            <w:tcBorders>
              <w:bottom w:val="single" w:sz="8" w:color="auto"/>
            </w:tcBorders>
          </w:tcPr>
          <w:p>
            <w:pPr>
              <w:spacing w:after="0"/>
              <w:rPr>
                <w:sz w:val="20"/>
                <w:szCs w:val="20"/>
                <w:color w:val="auto"/>
              </w:rPr>
            </w:pP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9"/>
                <w:szCs w:val="19"/>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February 28, 2026</w:t>
            </w:r>
          </w:p>
        </w:tc>
        <w:tc>
          <w:tcPr>
            <w:tcW w:w="140" w:type="dxa"/>
            <w:vAlign w:val="bottom"/>
          </w:tcPr>
          <w:p>
            <w:pPr>
              <w:spacing w:after="0"/>
              <w:rPr>
                <w:sz w:val="19"/>
                <w:szCs w:val="19"/>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February 28, 2025</w:t>
            </w:r>
          </w:p>
        </w:tc>
        <w:tc>
          <w:tcPr>
            <w:tcW w:w="1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Percentage Change</w:t>
            </w:r>
          </w:p>
        </w:tc>
      </w:tr>
      <w:tr>
        <w:trPr>
          <w:trHeight w:val="223"/>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7,479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2,356</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217 %</w:t>
            </w:r>
          </w:p>
        </w:tc>
      </w:tr>
      <w:tr>
        <w:trPr>
          <w:trHeight w:val="236"/>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As a percentage of income before income taxes</w:t>
            </w: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25 %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18 %</w:t>
            </w: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bl>
    <w:p>
      <w:pPr>
        <w:spacing w:after="0" w:line="29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effective tax rate was 25% and 18% in the first fiscal quarters of 2026 and 2025, respectively. The increase in the effective rate is primarily due to changes in the jurisdictional mix of earnings, including the proportion of U.S. versus non-U.S. income and discrete tax expense of $0.5 million in the first fiscal quarter of 2026 compared to a discrete tax benefit of $0.3 million in the first fiscal quarter of 2025.</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type w:val="continuous"/>
        </w:sectPr>
      </w:pPr>
    </w:p>
    <w:bookmarkStart w:id="22" w:name="page23"/>
    <w:bookmarkEnd w:id="22"/>
    <w:p>
      <w:pPr>
        <w:ind w:right="160"/>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into law, introducing significant changes to the U.S. federal income tax system. The legislation contains key modifications to the provisions of the 2017 Tax Cuts and Jobs Act and has multiple effective dates. In our fiscal 2026, provisions under OBBBA allow for an immediate deduction of U.S. Research &amp; Experimental expenditures and a return to interest expense limitations based on EBITDA, which results in a reduction to the current taxes payable.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 Performance Metrics: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Management evaluates our financial performance using a number of financial and operating metrics. These metrics are periodically reviewed and revised to reflect changes in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Annualized Recurring Revenue ("ARR")</w:t>
      </w:r>
    </w:p>
    <w:p>
      <w:pPr>
        <w:spacing w:after="0" w:line="25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disclose ARR as a performance metric to help investors better understand and assess the performance of our business because our mix of revenue generated from recurring sources currently represents the substantial majority of our revenues and is expected to continue in the future. We define ARR as the annualized revenue of all active and contractually binding term-based contracts from all customers at a point in time. ARR includes revenue from maintenance, software upgrade rights, public cloud, and on-premises subscription-based transactions and managed services. ARR mitigates fluctuations in revenue due to seasonality, contract term and the sales mix of subscriptions for term-based licenses and SaaS. We use ARR to understand customer trends and the overall health of our business, helping us to formulate strategic business decisions.</w:t>
      </w:r>
    </w:p>
    <w:p>
      <w:pPr>
        <w:spacing w:after="0" w:line="21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calculate the annualized value of annual and multi-year contracts, and contracts with terms less than one year, by dividing the total contract value of each contract by the number of months in the term and then multiplying by 12. Annualizing contracts with terms less than one-year results in amounts being included in our ARR that are in excess of the total contract value for those contracts at the end of the reporting period. We generally do not sell non-SaaS-based contracts with a term of less than one year unless a customer is purchasing additional licenses under an existing annual or multi-year contract. The expectation is that at the time of renewal, such contracts with a term less than one year will renew with the same term as the existing contracts being renewed, such that both contracts are co-termed. Historically, such contracts with a term of less than one year renew at rates equal to or better than annual or multi-year contracts.</w:t>
      </w:r>
    </w:p>
    <w:p>
      <w:pPr>
        <w:spacing w:after="0" w:line="21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For SaaS-based contracts, there is a meaningful percentage of monthly auto-renewing contracts for which annualizing the contracts results in amounts being included in our ARR that are in excess of the total contract value for those contracts at the end of the reporting period.</w:t>
      </w:r>
    </w:p>
    <w:p>
      <w:pPr>
        <w:spacing w:after="0" w:line="18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Revenue from term-based license and on-premises subscription arrangements include a portion of the arrangement consideration that is allocated to the software license that is recognized up-front at the point in time control is transferred under ASC 606 revenue recognition principles. ARR for these arrangements is calculated as described above. The expectation is that the total contract value, inclusive of revenue recognized as software license, will be renewed at the end of the contract term. The calculation is done at constant currency using the current year budgeted exchange rates for all periods presented.</w:t>
      </w:r>
    </w:p>
    <w:p>
      <w:pPr>
        <w:spacing w:after="0" w:line="21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ARR is not defined in GAAP and is not derived from a GAAP measure. Rather, ARR generally aligns to billings (as opposed to GAAP revenue which aligns to the transfer of control of each performance obligation). ARR does not have any standardized meaning and is therefore unlikely to be comparable to similarly titled measures presented by other companies. ARR should be viewed independently of revenue and deferred revenue and is not intended to be combined with or to replace either of those items. ARR is not a forecast and the active contracts at the end of a reporting period used in calculating ARR may or may not be extended or renewed by our customers.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ARR was $863.0 million and $849.0 million as of February 28, 2026 and February 28, 2025, respectively, which is an increase of 2% year-over-year.</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Retention Rate</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calculate net retention rate as of a period end by starting with the ARR from the cohort of all customers as of 12 months prior to such period end ("Prior Period ARR"). We then calculate the ARR from these same customers as of the current period end ("Current Period ARR"). Current Period ARR includes any expansion and is net of contraction or attrition over the last 12 months but excludes ARR from new customers in the current period. We then divide the total Current Period ARR by the total Prior Period ARR to arrive at the net retention rate. Net retention rate is not calculated in accordance with GAAP and is not derived from a GAAP measure.</w:t>
      </w:r>
    </w:p>
    <w:p>
      <w:pPr>
        <w:spacing w:after="0" w:line="21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net retention rates have generally ranged between 99% and 100% for all periods presented. We believe net retention rates can be a helpful indicator of the durability of top line performance.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8"/>
        </w:trPr>
        <w:tc>
          <w:tcPr>
            <w:tcW w:w="7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59"/>
        </w:trPr>
        <w:tc>
          <w:tcPr>
            <w:tcW w:w="73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540"/>
        </w:trPr>
        <w:tc>
          <w:tcPr>
            <w:tcW w:w="73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February 28, 2026</w:t>
            </w:r>
          </w:p>
        </w:tc>
        <w:tc>
          <w:tcPr>
            <w:tcW w:w="160" w:type="dxa"/>
            <w:vAlign w:val="bottom"/>
          </w:tcPr>
          <w:p>
            <w:pPr>
              <w:spacing w:after="0"/>
              <w:rPr>
                <w:sz w:val="24"/>
                <w:szCs w:val="24"/>
                <w:color w:val="auto"/>
              </w:rPr>
            </w:pP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November 30, 2025</w:t>
            </w:r>
          </w:p>
        </w:tc>
      </w:tr>
      <w:tr>
        <w:trPr>
          <w:trHeight w:val="223"/>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113,171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94,807</w:t>
            </w:r>
          </w:p>
        </w:tc>
      </w:tr>
    </w:tbl>
    <w:p>
      <w:pPr>
        <w:spacing w:after="0" w:line="3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increase in cash and cash equivalents of $18.4 million from the end of fiscal year 2025 was due to cash inflows from operations of $98.6 million, $1.7 million in cash received from the issuance of common stock, and the effect of exchange rates on cash of $1.3 million. The cash inflows described above were offset by cash outflows of $60.0 million to pay down the revolving line of credit, repurchases of common stock of $20.4 million, and purchases of property and equipment of $2.7 million. Except as described below, there are no limitations on our ability to access our cash and cash equivalents.</w:t>
      </w:r>
    </w:p>
    <w:p>
      <w:pPr>
        <w:spacing w:after="0" w:line="20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As of February 28, 2026, $69.0 million of our cash and cash equivalents was held by our foreign subsidiaries. The Company has determined that a substantial portion of unremitted foreign earnings are no longer indefinitely reinvested. As a result of this, we plan to utilize worldwide cash based on the needs of the parent entity. These amounts will be repatriated as needed. Deferred taxes are recorded for earnings of our foreign operations that we determine are not indefinitely reinvested.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gridSpan w:val="4"/>
          </w:tcPr>
          <w:p>
            <w:pPr>
              <w:jc w:val="right"/>
              <w:ind w:right="109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23"/>
        </w:trPr>
        <w:tc>
          <w:tcPr>
            <w:tcW w:w="73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9"/>
                <w:szCs w:val="19"/>
                <w:color w:val="auto"/>
              </w:rPr>
            </w:pPr>
          </w:p>
        </w:tc>
        <w:tc>
          <w:tcPr>
            <w:tcW w:w="1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February 28, 2026</w:t>
            </w:r>
          </w:p>
        </w:tc>
        <w:tc>
          <w:tcPr>
            <w:tcW w:w="200" w:type="dxa"/>
            <w:vAlign w:val="bottom"/>
          </w:tcPr>
          <w:p>
            <w:pPr>
              <w:spacing w:after="0"/>
              <w:rPr>
                <w:sz w:val="19"/>
                <w:szCs w:val="19"/>
                <w:color w:val="auto"/>
              </w:rPr>
            </w:pPr>
          </w:p>
        </w:tc>
        <w:tc>
          <w:tcPr>
            <w:tcW w:w="16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February 28, 2025</w:t>
            </w:r>
          </w:p>
        </w:tc>
      </w:tr>
      <w:tr>
        <w:trPr>
          <w:trHeight w:val="223"/>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flows provided by operating activities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98,626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68,947</w:t>
            </w:r>
          </w:p>
        </w:tc>
      </w:tr>
      <w:tr>
        <w:trPr>
          <w:trHeight w:val="229"/>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flows used in investing activities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w:t>
            </w:r>
          </w:p>
        </w:tc>
      </w:tr>
      <w:tr>
        <w:trPr>
          <w:trHeight w:val="23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flows used in financing activities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(58,870)</w:t>
            </w: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Provided by Operating Activities</w:t>
      </w:r>
    </w:p>
    <w:p>
      <w:pPr>
        <w:spacing w:after="0" w:line="25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increase in cash generated from operations in the first three months of fiscal year 2026 as compared to the same period last year was primarily due to increased collections in fiscal year 2026.</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gross accounts receivable as of February 28, 2026, decreased by $50.8 million from the end of fiscal year 2025. Our days sales outstanding ("DSO") in accounts receivable was 52 days in the first quarter of fiscal year 2026 compared to 48 days and 73 days in the first and fourth fiscal quarters of 2025, respectively, due to the timing of billings and collections.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in Investing Activities</w:t>
      </w:r>
    </w:p>
    <w:p>
      <w:pPr>
        <w:spacing w:after="0" w:line="25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Net cash outflows and inflows of our net investment activity are generally a result of the timing of our purchases and maturities of securities, which are classified as cash equivalents, as well as the timing of acquisitions and divestitures. In the first three months of fiscal year 2026, we purchased $2.7 million of property and equipment. In the first quarter of fiscal year 2025 we had $1.3 million of purchases of property and equipment and a payment of $1.2 million related to the acquisition of ShareFile.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in Financing Activities</w:t>
      </w:r>
    </w:p>
    <w:p>
      <w:pPr>
        <w:spacing w:after="0" w:line="25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received $5.4 million from the exercise of stock options and the issuance of shares under our employee stock purchase plan in the first three months of fiscal year 2026 as compared to $6.2 million in the first three months of fiscal year 2025. We made withholding tax payments related to net share settlements of equity awards of $3.7 million in the first three months of fiscal year 2026 as compared to $4.6 million in the first three months of fiscal year 2025. We repurchased $20.4 million of our common stock under our share repurchase plan in the first three months of fiscal year 2026 as compared to $30.1 million in the same period of the prior year. Further, we made payments on our revolving line of credit of $60.0 million through the first quarter of fiscal year 2026 as compared to $30.0 million in the first quarter of fiscal year 2025.</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September 23, 2025, our Board of Directors increased the share repurchase authorization by $200.0 million to an aggregate authorization of</w:t>
      </w:r>
    </w:p>
    <w:p>
      <w:pPr>
        <w:spacing w:after="0" w:line="27"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$242.2 million. In the three months ended February 28, 2026 and 2025, we repurchased and retired 0.5 million shares for $20.0 million and 0.5 million shares for $30.0 million, respectively. The shares were repurchased in both periods as part of the share repurchase program as authorized by our Board of Directors. As of February 28, 2026, there was $182.2 million remaining under the current authorization.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5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As announced on September 9, 2024, our Board of Directors approved the suspension of our quarterly dividend in connection with the ShareFile acquisition and plans to redirect such capital toward the repayment of debt to increase liquidity for future M&amp;A and for share repurchases, both of which are prioritized in our capital allocation policy.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Activities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Note 9, </w:t>
      </w:r>
      <w:r>
        <w:rPr>
          <w:rFonts w:ascii="Times New Roman" w:cs="Times New Roman" w:eastAsia="Times New Roman" w:hAnsi="Times New Roman"/>
          <w:sz w:val="18"/>
          <w:szCs w:val="18"/>
          <w:i w:val="1"/>
          <w:iCs w:val="1"/>
          <w:color w:val="auto"/>
        </w:rPr>
        <w:t>Restructuring</w:t>
      </w:r>
      <w:r>
        <w:rPr>
          <w:rFonts w:ascii="Times New Roman" w:cs="Times New Roman" w:eastAsia="Times New Roman" w:hAnsi="Times New Roman"/>
          <w:sz w:val="18"/>
          <w:szCs w:val="18"/>
          <w:color w:val="auto"/>
        </w:rPr>
        <w:t xml:space="preserve"> to the condensed consolidated financial statements.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Senior Notes and Long-Term Debt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Note 5,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to the condensed consolidated financial statements.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Outlook</w:t>
      </w:r>
    </w:p>
    <w:p>
      <w:pPr>
        <w:spacing w:after="0" w:line="2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Cash from operations in fiscal year 2026 could be affected by various risks and uncertainties, including, but not limited to, the effects of various risks detailed in Part I, Item 1A. Risk Factors in our 2025 Annual Report, including increased disruption and volatility in capital markets and credit markets that could adversely affect our liquidity and capital resources in the future. However, based on our current business plan, we believe that existing cash balances, together with funds generated from operations and amounts available under our revolving credit facility, will be sufficient to finance our operations and meet our foreseeable cash requirements through at least the next twelve months. Our foreseeable cash needs include capital expenditures, acquisitions, debt repayments, share repurchases, lease commitments, restructuring obligations, and other long-term obligations.</w:t>
      </w:r>
    </w:p>
    <w:p>
      <w:pPr>
        <w:spacing w:after="0" w:line="21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expect to continue to make payments on the revolving credit facility and are also continuously evaluating additional financing options, the net proceeds of which could be used for general corporate purposes or to repay outstanding indebtedness. In the future, we may use the available capacity under our revolving credit facility for any payments made in connection with any settlement of the 2026 Notes upon conversion, redemption, or repayment of our 2026 Notes at or prior to the 2026 Notes maturity. We may also use the available capacity for general corporate purposes.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Other Regulatory Matters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MOVEit Vulnerability</w:t>
      </w:r>
    </w:p>
    <w:p>
      <w:pPr>
        <w:spacing w:after="0" w:line="25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As previously disclosed, on the evening of May 28, 2023, we learned that our MOVEit Transfer (the on-premise version) and MOVEit Cloud (a cloud-hosted version of MOVEit Transfer) products were attacked by a threat actor who compromised and exfiltrated personal data from various customer-controlled MOVEit Transfer environments. As a result of the MOVEit Vulnerability, we are party to certain class action lawsuits filed by individuals who claim to have been impacted by the exfiltration of data from the environments of our MOVEit Transfer customers, which have been centralized in the MDL. The MDL has also consolidated an insurance subrogation complaint (where an insurer is seeking recovery for expenses incurred on behalf of its insured in connection with the MOVEit Vulnerability) and, as of the date of this filing, one customer cross-claim. The MDL remains in a relatively early stage and is not expected to conclude within the next twelve months. Motions to dismiss were filed and partially granted in July 2025, then further partially granted in January 2026 in response to our motions for reconsideration. In all, the court has dismissed, in whole or in part, 23 of the 33 claims asserted by the plaintiffs in the MDL. As previously disclosed, we have also cooperated with inquiries and investigations from various governmental authorities, a number of which have been formally closed and, as of the date of this filing, have not resulted in any prosecution or enforcement actions.</w:t>
      </w:r>
    </w:p>
    <w:p>
      <w:pPr>
        <w:spacing w:after="0" w:line="219" w:lineRule="exact"/>
        <w:rPr>
          <w:sz w:val="20"/>
          <w:szCs w:val="20"/>
          <w:color w:val="auto"/>
        </w:rPr>
      </w:pPr>
    </w:p>
    <w:p>
      <w:pPr>
        <w:ind w:right="500"/>
        <w:spacing w:after="0" w:line="284" w:lineRule="auto"/>
        <w:rPr>
          <w:sz w:val="20"/>
          <w:szCs w:val="20"/>
          <w:color w:val="auto"/>
        </w:rPr>
      </w:pPr>
      <w:r>
        <w:rPr>
          <w:rFonts w:ascii="Times New Roman" w:cs="Times New Roman" w:eastAsia="Times New Roman" w:hAnsi="Times New Roman"/>
          <w:sz w:val="18"/>
          <w:szCs w:val="18"/>
          <w:color w:val="auto"/>
        </w:rPr>
        <w:t xml:space="preserve">We expect our exposure to such expenses and liabilities to be reduced by insurance. Please refer to Note 12, </w:t>
      </w:r>
      <w:r>
        <w:rPr>
          <w:rFonts w:ascii="Times New Roman" w:cs="Times New Roman" w:eastAsia="Times New Roman" w:hAnsi="Times New Roman"/>
          <w:sz w:val="18"/>
          <w:szCs w:val="18"/>
          <w:i w:val="1"/>
          <w:iCs w:val="1"/>
          <w:color w:val="auto"/>
        </w:rPr>
        <w:t>Cyber Related Matters</w:t>
      </w:r>
      <w:r>
        <w:rPr>
          <w:rFonts w:ascii="Times New Roman" w:cs="Times New Roman" w:eastAsia="Times New Roman" w:hAnsi="Times New Roman"/>
          <w:sz w:val="18"/>
          <w:szCs w:val="18"/>
          <w:color w:val="auto"/>
        </w:rPr>
        <w:t xml:space="preserve"> to the condensed consolidated financial statements for additional details and updates regarding the MOVEit Vulnerability.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7"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Note 1,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to the condensed consolidated financial statements for further discussion.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During the first three months of fiscal year 2026, with the exception of repayments on our revolving credit facility, there were no significant changes to our quantitative and qualitative disclosures about market risk. Please refer to Part II, Item 7A. Quantitative and Qualitative Disclosures about Market Risk included in our 2025 Annual Report, for a more complete discussion of the market risks we encounter.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Evaluation of disclosure controls and procedures</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management maintains disclosure controls and procedures as defined in Rules 13a-15(e) and 15d-15(e) under the Securities and Exchange Act of 1934, as amended (the "Exchange Act") that are designed to provide reasonable assurance that information required to be disclosed in our reports filed or submitted under the Exchange Act is processed, recorded, summarized, and reported within the time periods specified in the SEC's rules and forms, and that such information is accumulated and communicated to management, including our Chief Executive Officer and Chief Financial Officer (our principal executive officer and principal financial officer, respectively), as appropriate, to allow for timely decisions regarding required disclosure.</w:t>
      </w:r>
    </w:p>
    <w:p>
      <w:pPr>
        <w:spacing w:after="0" w:line="21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Our management, including our principal executive and principal financial officers, evaluated the effectiveness of the design and operation of our disclosure controls and procedures as of the end of the period covered by this report. Based on this evaluation, we concluded that our disclosure controls and procedures were effective at the reasonable assurance level as of February 28, 2026.</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Changes in internal control over financial reporting</w:t>
      </w:r>
    </w:p>
    <w:p>
      <w:pPr>
        <w:spacing w:after="0" w:line="25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fiscal quarter ended February 28, 2026 that have materially affected, or are reasonably likely to materially affect our internal control over financial reporting.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4" w:lineRule="exact"/>
        <w:rPr>
          <w:sz w:val="20"/>
          <w:szCs w:val="20"/>
          <w:color w:val="auto"/>
        </w:rPr>
      </w:pPr>
    </w:p>
    <w:p>
      <w:pPr>
        <w:ind w:right="500"/>
        <w:spacing w:after="0" w:line="267" w:lineRule="auto"/>
        <w:rPr>
          <w:sz w:val="20"/>
          <w:szCs w:val="20"/>
          <w:color w:val="auto"/>
        </w:rPr>
      </w:pPr>
      <w:r>
        <w:rPr>
          <w:rFonts w:ascii="Times New Roman" w:cs="Times New Roman" w:eastAsia="Times New Roman" w:hAnsi="Times New Roman"/>
          <w:sz w:val="18"/>
          <w:szCs w:val="18"/>
          <w:color w:val="auto"/>
        </w:rPr>
        <w:t xml:space="preserve">Please refer to Note 12, </w:t>
      </w:r>
      <w:r>
        <w:rPr>
          <w:rFonts w:ascii="Times New Roman" w:cs="Times New Roman" w:eastAsia="Times New Roman" w:hAnsi="Times New Roman"/>
          <w:sz w:val="18"/>
          <w:szCs w:val="18"/>
          <w:i w:val="1"/>
          <w:iCs w:val="1"/>
          <w:color w:val="auto"/>
        </w:rPr>
        <w:t>Cyber Related Matters</w:t>
      </w:r>
      <w:r>
        <w:rPr>
          <w:rFonts w:ascii="Times New Roman" w:cs="Times New Roman" w:eastAsia="Times New Roman" w:hAnsi="Times New Roman"/>
          <w:sz w:val="18"/>
          <w:szCs w:val="18"/>
          <w:color w:val="auto"/>
        </w:rPr>
        <w:t xml:space="preserve"> to the condensed consolidated financial statements for a discussion of legal proceedings related to the MOVEit Vulnerability. Our 2025 Annual Report and previous SEC filings also contain additional information, including risk factors, related to the MOVEit Vulnerability.</w:t>
      </w:r>
    </w:p>
    <w:p>
      <w:pPr>
        <w:spacing w:after="0" w:line="20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are also subject to various other legal proceedings and claims, either asserted or unasserted, which arise in the ordinary course of business. While the outcome of these claims cannot be predicted with certainty, management does not believe that the outcome of any of these legal matters will have a material effect on our financial position, results of operations, or cash flows.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We operate in a rapidly changing environment that involves certain risks and uncertainties, some of which are beyond our control. In addition to the information provided in this report, please refer to Part I, Item 1A. Risk Factors in our 2025 Annual Report for a more complete discussion regarding certain factors that could materially affect our business, financial condition, or future results.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Stock Repurchases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related to the repurchases of our common stock by month in the first quarter of fiscal year 2026 is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and share data)</w:t>
            </w: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2"/>
          </w:tcPr>
          <w:p>
            <w:pPr>
              <w:jc w:val="center"/>
              <w:ind w:right="80"/>
              <w:spacing w:after="0" w:line="186" w:lineRule="exact"/>
              <w:rPr>
                <w:sz w:val="20"/>
                <w:szCs w:val="20"/>
                <w:color w:val="auto"/>
              </w:rPr>
            </w:pPr>
            <w:r>
              <w:rPr>
                <w:rFonts w:ascii="Times New Roman" w:cs="Times New Roman" w:eastAsia="Times New Roman" w:hAnsi="Times New Roman"/>
                <w:sz w:val="18"/>
                <w:szCs w:val="18"/>
                <w:color w:val="auto"/>
                <w:w w:val="99"/>
              </w:rPr>
              <w:t>Total Number of Shares</w:t>
            </w:r>
          </w:p>
        </w:tc>
        <w:tc>
          <w:tcPr>
            <w:tcW w:w="1980" w:type="dxa"/>
            <w:vAlign w:val="bottom"/>
            <w:gridSpan w:val="2"/>
          </w:tcPr>
          <w:p>
            <w:pPr>
              <w:ind w:left="40"/>
              <w:spacing w:after="0" w:line="186" w:lineRule="exact"/>
              <w:rPr>
                <w:sz w:val="20"/>
                <w:szCs w:val="20"/>
                <w:color w:val="auto"/>
              </w:rPr>
            </w:pPr>
            <w:r>
              <w:rPr>
                <w:rFonts w:ascii="Times New Roman" w:cs="Times New Roman" w:eastAsia="Times New Roman" w:hAnsi="Times New Roman"/>
                <w:sz w:val="18"/>
                <w:szCs w:val="18"/>
                <w:color w:val="auto"/>
                <w:w w:val="99"/>
              </w:rPr>
              <w:t>Approximate Dollar Value</w:t>
            </w:r>
          </w:p>
        </w:tc>
        <w:tc>
          <w:tcPr>
            <w:tcW w:w="0" w:type="dxa"/>
            <w:vAlign w:val="bottom"/>
          </w:tcPr>
          <w:p>
            <w:pPr>
              <w:spacing w:after="0"/>
              <w:rPr>
                <w:sz w:val="1"/>
                <w:szCs w:val="1"/>
                <w:color w:val="auto"/>
              </w:rPr>
            </w:pPr>
          </w:p>
        </w:tc>
      </w:tr>
      <w:tr>
        <w:trPr>
          <w:trHeight w:val="184"/>
        </w:trPr>
        <w:tc>
          <w:tcPr>
            <w:tcW w:w="3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Total Number of</w:t>
            </w:r>
          </w:p>
        </w:tc>
        <w:tc>
          <w:tcPr>
            <w:tcW w:w="120" w:type="dxa"/>
            <w:vAlign w:val="bottom"/>
          </w:tcPr>
          <w:p>
            <w:pPr>
              <w:spacing w:after="0"/>
              <w:rPr>
                <w:sz w:val="16"/>
                <w:szCs w:val="16"/>
                <w:color w:val="auto"/>
              </w:rPr>
            </w:pPr>
          </w:p>
        </w:tc>
        <w:tc>
          <w:tcPr>
            <w:tcW w:w="15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color w:val="auto"/>
                <w:w w:val="99"/>
              </w:rPr>
              <w:t>Average Price Paid</w:t>
            </w:r>
          </w:p>
        </w:tc>
        <w:tc>
          <w:tcPr>
            <w:tcW w:w="208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color w:val="auto"/>
                <w:w w:val="99"/>
              </w:rPr>
              <w:t>Purchased as Part of</w:t>
            </w:r>
          </w:p>
        </w:tc>
        <w:tc>
          <w:tcPr>
            <w:tcW w:w="1980" w:type="dxa"/>
            <w:vAlign w:val="bottom"/>
            <w:gridSpan w:val="2"/>
          </w:tcPr>
          <w:p>
            <w:pPr>
              <w:ind w:left="60"/>
              <w:spacing w:after="0" w:line="184" w:lineRule="exact"/>
              <w:rPr>
                <w:sz w:val="20"/>
                <w:szCs w:val="20"/>
                <w:color w:val="auto"/>
              </w:rPr>
            </w:pPr>
            <w:r>
              <w:rPr>
                <w:rFonts w:ascii="Times New Roman" w:cs="Times New Roman" w:eastAsia="Times New Roman" w:hAnsi="Times New Roman"/>
                <w:sz w:val="18"/>
                <w:szCs w:val="18"/>
                <w:color w:val="auto"/>
              </w:rPr>
              <w:t>of Shares that May Yet be</w:t>
            </w:r>
          </w:p>
        </w:tc>
        <w:tc>
          <w:tcPr>
            <w:tcW w:w="0" w:type="dxa"/>
            <w:vAlign w:val="bottom"/>
          </w:tcPr>
          <w:p>
            <w:pPr>
              <w:spacing w:after="0"/>
              <w:rPr>
                <w:sz w:val="1"/>
                <w:szCs w:val="1"/>
                <w:color w:val="auto"/>
              </w:rPr>
            </w:pPr>
          </w:p>
        </w:tc>
      </w:tr>
      <w:tr>
        <w:trPr>
          <w:trHeight w:val="180"/>
        </w:trPr>
        <w:tc>
          <w:tcPr>
            <w:tcW w:w="3780" w:type="dxa"/>
            <w:vAlign w:val="bottom"/>
            <w:gridSpan w:val="2"/>
            <w:vMerge w:val="restart"/>
          </w:tcPr>
          <w:p>
            <w:pPr>
              <w:ind w:left="1600"/>
              <w:spacing w:after="0"/>
              <w:rPr>
                <w:sz w:val="20"/>
                <w:szCs w:val="20"/>
                <w:color w:val="auto"/>
              </w:rPr>
            </w:pPr>
            <w:r>
              <w:rPr>
                <w:rFonts w:ascii="Times New Roman" w:cs="Times New Roman" w:eastAsia="Times New Roman" w:hAnsi="Times New Roman"/>
                <w:sz w:val="18"/>
                <w:szCs w:val="18"/>
                <w:color w:val="auto"/>
              </w:rPr>
              <w:t>Period</w:t>
            </w:r>
          </w:p>
        </w:tc>
        <w:tc>
          <w:tcPr>
            <w:tcW w:w="17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2080" w:type="dxa"/>
            <w:vAlign w:val="bottom"/>
            <w:gridSpan w:val="2"/>
          </w:tcPr>
          <w:p>
            <w:pPr>
              <w:jc w:val="center"/>
              <w:ind w:right="80"/>
              <w:spacing w:after="0" w:line="181" w:lineRule="exact"/>
              <w:rPr>
                <w:sz w:val="20"/>
                <w:szCs w:val="20"/>
                <w:color w:val="auto"/>
              </w:rPr>
            </w:pPr>
            <w:r>
              <w:rPr>
                <w:rFonts w:ascii="Times New Roman" w:cs="Times New Roman" w:eastAsia="Times New Roman" w:hAnsi="Times New Roman"/>
                <w:sz w:val="18"/>
                <w:szCs w:val="18"/>
                <w:color w:val="auto"/>
              </w:rPr>
              <w:t>Publicly Announced Plans</w:t>
            </w:r>
          </w:p>
        </w:tc>
        <w:tc>
          <w:tcPr>
            <w:tcW w:w="19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Purchased Under the Plans</w:t>
            </w:r>
          </w:p>
        </w:tc>
        <w:tc>
          <w:tcPr>
            <w:tcW w:w="0" w:type="dxa"/>
            <w:vAlign w:val="bottom"/>
          </w:tcPr>
          <w:p>
            <w:pPr>
              <w:spacing w:after="0"/>
              <w:rPr>
                <w:sz w:val="1"/>
                <w:szCs w:val="1"/>
                <w:color w:val="auto"/>
              </w:rPr>
            </w:pPr>
          </w:p>
        </w:tc>
      </w:tr>
      <w:tr>
        <w:trPr>
          <w:trHeight w:val="230"/>
        </w:trPr>
        <w:tc>
          <w:tcPr>
            <w:tcW w:w="3780" w:type="dxa"/>
            <w:vAlign w:val="bottom"/>
            <w:gridSpan w:val="2"/>
            <w:vMerge w:val="continue"/>
          </w:tcPr>
          <w:p>
            <w:pPr>
              <w:spacing w:after="0"/>
              <w:rPr>
                <w:sz w:val="19"/>
                <w:szCs w:val="19"/>
                <w:color w:val="auto"/>
              </w:rPr>
            </w:pP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Shares Purchased</w:t>
            </w:r>
          </w:p>
        </w:tc>
        <w:tc>
          <w:tcPr>
            <w:tcW w:w="120" w:type="dxa"/>
            <w:vAlign w:val="bottom"/>
          </w:tcPr>
          <w:p>
            <w:pPr>
              <w:spacing w:after="0"/>
              <w:rPr>
                <w:sz w:val="19"/>
                <w:szCs w:val="19"/>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per Share</w:t>
            </w:r>
          </w:p>
        </w:tc>
        <w:tc>
          <w:tcPr>
            <w:tcW w:w="20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or Programs</w:t>
            </w:r>
          </w:p>
        </w:tc>
        <w:tc>
          <w:tcPr>
            <w:tcW w:w="340" w:type="dxa"/>
            <w:vAlign w:val="bottom"/>
          </w:tcPr>
          <w:p>
            <w:pPr>
              <w:spacing w:after="0"/>
              <w:rPr>
                <w:sz w:val="19"/>
                <w:szCs w:val="19"/>
                <w:color w:val="auto"/>
              </w:rPr>
            </w:pPr>
          </w:p>
        </w:tc>
        <w:tc>
          <w:tcPr>
            <w:tcW w:w="1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or Programs</w:t>
            </w:r>
          </w:p>
        </w:tc>
        <w:tc>
          <w:tcPr>
            <w:tcW w:w="0" w:type="dxa"/>
            <w:vAlign w:val="bottom"/>
          </w:tcPr>
          <w:p>
            <w:pPr>
              <w:spacing w:after="0"/>
              <w:rPr>
                <w:sz w:val="1"/>
                <w:szCs w:val="1"/>
                <w:color w:val="auto"/>
              </w:rPr>
            </w:pPr>
          </w:p>
        </w:tc>
      </w:tr>
      <w:tr>
        <w:trPr>
          <w:trHeight w:val="223"/>
        </w:trPr>
        <w:tc>
          <w:tcPr>
            <w:tcW w:w="3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2025</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229,081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43.63</w:t>
            </w:r>
          </w:p>
        </w:tc>
        <w:tc>
          <w:tcPr>
            <w:tcW w:w="1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229,081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192,220</w:t>
            </w:r>
          </w:p>
        </w:tc>
        <w:tc>
          <w:tcPr>
            <w:tcW w:w="0" w:type="dxa"/>
            <w:vAlign w:val="bottom"/>
          </w:tcPr>
          <w:p>
            <w:pPr>
              <w:spacing w:after="0"/>
              <w:rPr>
                <w:sz w:val="1"/>
                <w:szCs w:val="1"/>
                <w:color w:val="auto"/>
              </w:rPr>
            </w:pPr>
          </w:p>
        </w:tc>
      </w:tr>
      <w:tr>
        <w:trPr>
          <w:trHeight w:val="230"/>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January 2026</w:t>
            </w: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192,220</w:t>
            </w:r>
          </w:p>
        </w:tc>
        <w:tc>
          <w:tcPr>
            <w:tcW w:w="0" w:type="dxa"/>
            <w:vAlign w:val="bottom"/>
          </w:tcPr>
          <w:p>
            <w:pPr>
              <w:spacing w:after="0"/>
              <w:rPr>
                <w:sz w:val="1"/>
                <w:szCs w:val="1"/>
                <w:color w:val="auto"/>
              </w:rPr>
            </w:pPr>
          </w:p>
        </w:tc>
      </w:tr>
      <w:tr>
        <w:trPr>
          <w:trHeight w:val="229"/>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2026</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236,910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42.19</w:t>
            </w:r>
          </w:p>
        </w:tc>
        <w:tc>
          <w:tcPr>
            <w:tcW w:w="100" w:type="dxa"/>
            <w:vAlign w:val="bottom"/>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236,910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182,220</w:t>
            </w:r>
          </w:p>
        </w:tc>
        <w:tc>
          <w:tcPr>
            <w:tcW w:w="0" w:type="dxa"/>
            <w:vAlign w:val="bottom"/>
          </w:tcPr>
          <w:p>
            <w:pPr>
              <w:spacing w:after="0"/>
              <w:rPr>
                <w:sz w:val="1"/>
                <w:szCs w:val="1"/>
                <w:color w:val="auto"/>
              </w:rPr>
            </w:pPr>
          </w:p>
        </w:tc>
      </w:tr>
      <w:tr>
        <w:trPr>
          <w:trHeight w:val="223"/>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465,991</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100" w:type="dxa"/>
            <w:vAlign w:val="bottom"/>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465,991</w:t>
            </w:r>
          </w:p>
        </w:tc>
        <w:tc>
          <w:tcPr>
            <w:tcW w:w="100" w:type="dxa"/>
            <w:vAlign w:val="bottom"/>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182,220</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September 23, 2025, our Board of Directors increased the share repurchase authorization by $200.0 million to an aggregate authorization of</w:t>
      </w:r>
    </w:p>
    <w:p>
      <w:pPr>
        <w:spacing w:after="0" w:line="27" w:lineRule="exact"/>
        <w:rPr>
          <w:sz w:val="20"/>
          <w:szCs w:val="20"/>
          <w:color w:val="auto"/>
        </w:rPr>
      </w:pPr>
    </w:p>
    <w:p>
      <w:pPr>
        <w:jc w:val="both"/>
        <w:ind w:right="380"/>
        <w:spacing w:after="0" w:line="255" w:lineRule="auto"/>
        <w:rPr>
          <w:sz w:val="20"/>
          <w:szCs w:val="20"/>
          <w:color w:val="auto"/>
        </w:rPr>
      </w:pPr>
      <w:r>
        <w:rPr>
          <w:rFonts w:ascii="Times New Roman" w:cs="Times New Roman" w:eastAsia="Times New Roman" w:hAnsi="Times New Roman"/>
          <w:sz w:val="18"/>
          <w:szCs w:val="18"/>
          <w:color w:val="auto"/>
        </w:rPr>
        <w:t>$242.2 million. The timing and amount of any shares repurchased will be determined by management based on its evaluation of market conditions and other factors, and the Board of Directors may choose to suspend, expand, or discontinue the repurchase program at any time. As of February 28, 2026, there was $182.2 million remaining under the current authorization.</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Insider Adoption or Termination of Trading Arrangements</w:t>
      </w:r>
    </w:p>
    <w:p>
      <w:pPr>
        <w:spacing w:after="0" w:line="256" w:lineRule="exact"/>
        <w:rPr>
          <w:sz w:val="20"/>
          <w:szCs w:val="20"/>
          <w:color w:val="auto"/>
        </w:rPr>
      </w:pPr>
    </w:p>
    <w:p>
      <w:pPr>
        <w:ind w:right="240"/>
        <w:spacing w:after="0" w:line="312" w:lineRule="auto"/>
        <w:rPr>
          <w:sz w:val="20"/>
          <w:szCs w:val="20"/>
          <w:color w:val="auto"/>
        </w:rPr>
      </w:pPr>
      <w:r>
        <w:rPr>
          <w:rFonts w:ascii="Times New Roman" w:cs="Times New Roman" w:eastAsia="Times New Roman" w:hAnsi="Times New Roman"/>
          <w:sz w:val="17"/>
          <w:szCs w:val="17"/>
          <w:color w:val="auto"/>
        </w:rPr>
        <w:t>During the first quarter of fiscal year 2026, none of our directors or officers informed us of the adoption or termination of a "Rule 10b5-1 trading arrangement" or "non-Rule 10b5-1 trading arrangement," as those terms are defined in Regulation S-K, Item 408, except as described in the table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Aggregate Number of</w:t>
            </w:r>
          </w:p>
        </w:tc>
        <w:tc>
          <w:tcPr>
            <w:tcW w:w="0" w:type="dxa"/>
            <w:vAlign w:val="bottom"/>
          </w:tcPr>
          <w:p>
            <w:pPr>
              <w:spacing w:after="0"/>
              <w:rPr>
                <w:sz w:val="1"/>
                <w:szCs w:val="1"/>
                <w:color w:val="auto"/>
              </w:rPr>
            </w:pPr>
          </w:p>
        </w:tc>
      </w:tr>
      <w:tr>
        <w:trPr>
          <w:trHeight w:val="184"/>
        </w:trPr>
        <w:tc>
          <w:tcPr>
            <w:tcW w:w="3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Character of Trading</w:t>
            </w: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Shares of Common Stock</w:t>
            </w:r>
          </w:p>
        </w:tc>
        <w:tc>
          <w:tcPr>
            <w:tcW w:w="0" w:type="dxa"/>
            <w:vAlign w:val="bottom"/>
          </w:tcPr>
          <w:p>
            <w:pPr>
              <w:spacing w:after="0"/>
              <w:rPr>
                <w:sz w:val="1"/>
                <w:szCs w:val="1"/>
                <w:color w:val="auto"/>
              </w:rPr>
            </w:pPr>
          </w:p>
        </w:tc>
      </w:tr>
      <w:tr>
        <w:trPr>
          <w:trHeight w:val="180"/>
        </w:trPr>
        <w:tc>
          <w:tcPr>
            <w:tcW w:w="3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Name and Title</w:t>
            </w:r>
          </w:p>
        </w:tc>
        <w:tc>
          <w:tcPr>
            <w:tcW w:w="120" w:type="dxa"/>
            <w:vAlign w:val="bottom"/>
            <w:vMerge w:val="restart"/>
          </w:tcPr>
          <w:p>
            <w:pPr>
              <w:spacing w:after="0"/>
              <w:rPr>
                <w:sz w:val="15"/>
                <w:szCs w:val="15"/>
                <w:color w:val="auto"/>
              </w:rPr>
            </w:pPr>
          </w:p>
        </w:tc>
        <w:tc>
          <w:tcPr>
            <w:tcW w:w="2040" w:type="dxa"/>
            <w:vAlign w:val="bottom"/>
            <w:gridSpan w:val="2"/>
            <w:vMerge w:val="continue"/>
          </w:tcPr>
          <w:p>
            <w:pPr>
              <w:spacing w:after="0"/>
              <w:rPr>
                <w:sz w:val="15"/>
                <w:szCs w:val="15"/>
                <w:color w:val="auto"/>
              </w:rPr>
            </w:pPr>
          </w:p>
        </w:tc>
        <w:tc>
          <w:tcPr>
            <w:tcW w:w="1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Adopted</w:t>
            </w:r>
          </w:p>
        </w:tc>
        <w:tc>
          <w:tcPr>
            <w:tcW w:w="120" w:type="dxa"/>
            <w:vAlign w:val="bottom"/>
            <w:vMerge w:val="restart"/>
          </w:tcPr>
          <w:p>
            <w:pPr>
              <w:spacing w:after="0"/>
              <w:rPr>
                <w:sz w:val="15"/>
                <w:szCs w:val="15"/>
                <w:color w:val="auto"/>
              </w:rPr>
            </w:pPr>
          </w:p>
        </w:tc>
        <w:tc>
          <w:tcPr>
            <w:tcW w:w="1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Duration</w:t>
            </w:r>
            <w:r>
              <w:rPr>
                <w:rFonts w:ascii="Times New Roman" w:cs="Times New Roman" w:eastAsia="Times New Roman" w:hAnsi="Times New Roman"/>
                <w:sz w:val="23"/>
                <w:szCs w:val="23"/>
                <w:color w:val="auto"/>
                <w:vertAlign w:val="superscript"/>
              </w:rPr>
              <w:t>2</w:t>
            </w:r>
          </w:p>
        </w:tc>
        <w:tc>
          <w:tcPr>
            <w:tcW w:w="100" w:type="dxa"/>
            <w:vAlign w:val="bottom"/>
            <w:vMerge w:val="restart"/>
          </w:tcPr>
          <w:p>
            <w:pPr>
              <w:spacing w:after="0"/>
              <w:rPr>
                <w:sz w:val="15"/>
                <w:szCs w:val="15"/>
                <w:color w:val="auto"/>
              </w:rPr>
            </w:pPr>
          </w:p>
        </w:tc>
        <w:tc>
          <w:tcPr>
            <w:tcW w:w="204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to be Sold Pursuant to</w:t>
            </w:r>
          </w:p>
        </w:tc>
        <w:tc>
          <w:tcPr>
            <w:tcW w:w="0" w:type="dxa"/>
            <w:vAlign w:val="bottom"/>
          </w:tcPr>
          <w:p>
            <w:pPr>
              <w:spacing w:after="0"/>
              <w:rPr>
                <w:sz w:val="1"/>
                <w:szCs w:val="1"/>
                <w:color w:val="auto"/>
              </w:rPr>
            </w:pPr>
          </w:p>
        </w:tc>
      </w:tr>
      <w:tr>
        <w:trPr>
          <w:trHeight w:val="230"/>
        </w:trPr>
        <w:tc>
          <w:tcPr>
            <w:tcW w:w="34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192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Arrangement</w:t>
            </w:r>
            <w:r>
              <w:rPr>
                <w:rFonts w:ascii="Times New Roman" w:cs="Times New Roman" w:eastAsia="Times New Roman" w:hAnsi="Times New Roman"/>
                <w:sz w:val="23"/>
                <w:szCs w:val="23"/>
                <w:color w:val="auto"/>
                <w:vertAlign w:val="superscript"/>
              </w:rPr>
              <w:t>1</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17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Arrangement</w:t>
            </w:r>
          </w:p>
        </w:tc>
        <w:tc>
          <w:tcPr>
            <w:tcW w:w="0" w:type="dxa"/>
            <w:vAlign w:val="bottom"/>
          </w:tcPr>
          <w:p>
            <w:pPr>
              <w:spacing w:after="0"/>
              <w:rPr>
                <w:sz w:val="1"/>
                <w:szCs w:val="1"/>
                <w:color w:val="auto"/>
              </w:rPr>
            </w:pPr>
          </w:p>
        </w:tc>
      </w:tr>
      <w:tr>
        <w:trPr>
          <w:trHeight w:val="209"/>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Anthony Folger, EVP &amp; Chief Financial</w:t>
            </w:r>
          </w:p>
        </w:tc>
        <w:tc>
          <w:tcPr>
            <w:tcW w:w="1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Rule 10b5-1</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Up to 22,555</w:t>
            </w:r>
            <w:r>
              <w:rPr>
                <w:rFonts w:ascii="Times New Roman" w:cs="Times New Roman" w:eastAsia="Times New Roman" w:hAnsi="Times New Roman"/>
                <w:sz w:val="23"/>
                <w:szCs w:val="23"/>
                <w:color w:val="auto"/>
                <w:vertAlign w:val="superscript"/>
              </w:rPr>
              <w:t>3</w:t>
            </w:r>
          </w:p>
        </w:tc>
        <w:tc>
          <w:tcPr>
            <w:tcW w:w="0" w:type="dxa"/>
            <w:vAlign w:val="bottom"/>
          </w:tcPr>
          <w:p>
            <w:pPr>
              <w:spacing w:after="0"/>
              <w:rPr>
                <w:sz w:val="1"/>
                <w:szCs w:val="1"/>
                <w:color w:val="auto"/>
              </w:rPr>
            </w:pPr>
          </w:p>
        </w:tc>
      </w:tr>
      <w:tr>
        <w:trPr>
          <w:trHeight w:val="243"/>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Officer</w:t>
            </w:r>
          </w:p>
        </w:tc>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Trading Arrangement</w:t>
            </w: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4, 2026</w:t>
            </w:r>
          </w:p>
        </w:tc>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11, 2027</w:t>
            </w:r>
          </w:p>
        </w:tc>
        <w:tc>
          <w:tcPr>
            <w:tcW w:w="20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Loren Jarrett,</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Rule 10b5-1</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EVP &amp; GM, Digital Experience</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Trading Arrangement</w:t>
            </w:r>
          </w:p>
        </w:tc>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24, 2026</w:t>
            </w:r>
          </w:p>
        </w:tc>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28, 2027</w:t>
            </w: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Up to 13,833</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YuFan Stephanie Wang, EVP &amp; Chief Legal</w:t>
            </w:r>
          </w:p>
        </w:tc>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Rule 10b5-1</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Up to 56,546</w:t>
            </w:r>
            <w:r>
              <w:rPr>
                <w:rFonts w:ascii="Times New Roman" w:cs="Times New Roman" w:eastAsia="Times New Roman" w:hAnsi="Times New Roman"/>
                <w:sz w:val="23"/>
                <w:szCs w:val="23"/>
                <w:color w:val="auto"/>
                <w:vertAlign w:val="superscript"/>
              </w:rPr>
              <w:t>4</w:t>
            </w:r>
          </w:p>
        </w:tc>
        <w:tc>
          <w:tcPr>
            <w:tcW w:w="0" w:type="dxa"/>
            <w:vAlign w:val="bottom"/>
          </w:tcPr>
          <w:p>
            <w:pPr>
              <w:spacing w:after="0"/>
              <w:rPr>
                <w:sz w:val="1"/>
                <w:szCs w:val="1"/>
                <w:color w:val="auto"/>
              </w:rPr>
            </w:pPr>
          </w:p>
        </w:tc>
      </w:tr>
      <w:tr>
        <w:trPr>
          <w:trHeight w:val="243"/>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Officer</w:t>
            </w:r>
          </w:p>
        </w:tc>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Trading Arrangement</w:t>
            </w: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23, 2026</w:t>
            </w:r>
          </w:p>
        </w:tc>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19, 2027</w:t>
            </w:r>
          </w:p>
        </w:tc>
        <w:tc>
          <w:tcPr>
            <w:tcW w:w="20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ind w:right="220" w:firstLine="8"/>
        <w:spacing w:after="0" w:line="280" w:lineRule="auto"/>
        <w:tabs>
          <w:tab w:leader="none" w:pos="162"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indicated by footnote, each trading arrangement marked as a "Rule 10b5-1 Trading Arrangement" is intended to satisfy the affirmative defense of Rule 10b5-1(c), as amended (the "Rule").</w:t>
      </w:r>
    </w:p>
    <w:p>
      <w:pPr>
        <w:spacing w:after="0" w:line="191" w:lineRule="exact"/>
        <w:rPr>
          <w:rFonts w:ascii="Times New Roman" w:cs="Times New Roman" w:eastAsia="Times New Roman" w:hAnsi="Times New Roman"/>
          <w:sz w:val="16"/>
          <w:szCs w:val="16"/>
          <w:color w:val="auto"/>
        </w:rPr>
      </w:pPr>
    </w:p>
    <w:p>
      <w:pPr>
        <w:ind w:right="140" w:firstLine="8"/>
        <w:spacing w:after="0" w:line="272" w:lineRule="auto"/>
        <w:tabs>
          <w:tab w:leader="none" w:pos="162"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indicated by footnote, each trading arrangement permits transactions through and including the earlier to occur of (a) the completion of all sales or (b) the date listed in the table. Each trading arrangement marked as a "Rule 10b5-1 Trading Arrangement" only permits transactions upon expiration of the applicable mandatory cooling-off period under the Rule.</w:t>
      </w:r>
    </w:p>
    <w:p>
      <w:pPr>
        <w:spacing w:after="0" w:line="211" w:lineRule="exact"/>
        <w:rPr>
          <w:rFonts w:ascii="Times New Roman" w:cs="Times New Roman" w:eastAsia="Times New Roman" w:hAnsi="Times New Roman"/>
          <w:sz w:val="16"/>
          <w:szCs w:val="16"/>
          <w:color w:val="auto"/>
        </w:rPr>
      </w:pPr>
    </w:p>
    <w:p>
      <w:pPr>
        <w:ind w:right="220" w:firstLine="8"/>
        <w:spacing w:after="0" w:line="263" w:lineRule="auto"/>
        <w:tabs>
          <w:tab w:leader="none" w:pos="162"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 3,000 shares of our common stock; (ii) all common stock, net of shares withheld to cover tax withholding obligations, to be issued upon the anticipated vesting of 13,555 Restricted Stock Units ("RSUs"); and (iii) up to 6,000 shares of common stock, net of shares withheld to cover tax withholding obligations, to be issued upon the anticipated vesting of a maximum of 49,284 Performance Stock Units ("PSUs").</w:t>
      </w:r>
    </w:p>
    <w:p>
      <w:pPr>
        <w:spacing w:after="0" w:line="218" w:lineRule="exact"/>
        <w:rPr>
          <w:rFonts w:ascii="Times New Roman" w:cs="Times New Roman" w:eastAsia="Times New Roman" w:hAnsi="Times New Roman"/>
          <w:sz w:val="16"/>
          <w:szCs w:val="16"/>
          <w:color w:val="auto"/>
        </w:rPr>
      </w:pPr>
    </w:p>
    <w:p>
      <w:pPr>
        <w:jc w:val="both"/>
        <w:ind w:right="440" w:firstLine="8"/>
        <w:spacing w:after="0" w:line="272" w:lineRule="auto"/>
        <w:tabs>
          <w:tab w:leader="none" w:pos="162"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 3,212 shares of our common stock; (ii) all common stock, net of shares withheld to cover tax withholding obligations, to be issued upon the anticipated vesting of 5,548 RSUs; (iii) all common stock, net of shares withheld to cover tax withholding obligations, to be issued upon the anticipated vesting of a maximum of 20,752 PSUs; and (iv) 27,034 employee stock options expected to be exercised via same-day sale.</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or furnished as part of this Quarterly Report on Form 10-Q:</w:t>
      </w:r>
    </w:p>
    <w:p>
      <w:pPr>
        <w:spacing w:after="0" w:line="329" w:lineRule="exact"/>
        <w:rPr>
          <w:sz w:val="20"/>
          <w:szCs w:val="20"/>
          <w:color w:val="auto"/>
        </w:rPr>
      </w:pPr>
    </w:p>
    <w:tbl>
      <w:tblPr>
        <w:tblLayout w:type="fixed"/>
        <w:tblInd w:w="140" w:type="dxa"/>
        <w:tblCellMar>
          <w:top w:w="0" w:type="dxa"/>
          <w:left w:w="0" w:type="dxa"/>
          <w:bottom w:w="0" w:type="dxa"/>
          <w:right w:w="0" w:type="dxa"/>
        </w:tblCellMar>
      </w:tblPr>
      <w:tr>
        <w:trPr>
          <w:trHeight w:val="238"/>
        </w:trPr>
        <w:tc>
          <w:tcPr>
            <w:tcW w:w="1860" w:type="dxa"/>
            <w:vAlign w:val="bottom"/>
            <w:vMerge w:val="restart"/>
          </w:tcPr>
          <w:p>
            <w:pPr>
              <w:jc w:val="center"/>
              <w:ind w:right="111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5000" w:type="dxa"/>
            <w:vAlign w:val="bottom"/>
          </w:tcPr>
          <w:p>
            <w:pPr>
              <w:spacing w:after="0"/>
              <w:rPr>
                <w:sz w:val="20"/>
                <w:szCs w:val="20"/>
                <w:color w:val="auto"/>
              </w:rPr>
            </w:pPr>
          </w:p>
        </w:tc>
        <w:tc>
          <w:tcPr>
            <w:tcW w:w="31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940" w:type="dxa"/>
            <w:vAlign w:val="bottom"/>
            <w:vMerge w:val="restart"/>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Filed</w:t>
            </w:r>
          </w:p>
        </w:tc>
        <w:tc>
          <w:tcPr>
            <w:tcW w:w="0" w:type="dxa"/>
            <w:vAlign w:val="bottom"/>
          </w:tcPr>
          <w:p>
            <w:pPr>
              <w:spacing w:after="0"/>
              <w:rPr>
                <w:sz w:val="1"/>
                <w:szCs w:val="1"/>
                <w:color w:val="auto"/>
              </w:rPr>
            </w:pPr>
          </w:p>
        </w:tc>
      </w:tr>
      <w:tr>
        <w:trPr>
          <w:trHeight w:val="156"/>
        </w:trPr>
        <w:tc>
          <w:tcPr>
            <w:tcW w:w="1860" w:type="dxa"/>
            <w:vAlign w:val="bottom"/>
            <w:vMerge w:val="continue"/>
          </w:tcPr>
          <w:p>
            <w:pPr>
              <w:spacing w:after="0"/>
              <w:rPr>
                <w:sz w:val="13"/>
                <w:szCs w:val="13"/>
                <w:color w:val="auto"/>
              </w:rPr>
            </w:pPr>
          </w:p>
        </w:tc>
        <w:tc>
          <w:tcPr>
            <w:tcW w:w="5000" w:type="dxa"/>
            <w:vAlign w:val="bottom"/>
            <w:vMerge w:val="restart"/>
          </w:tcPr>
          <w:p>
            <w:pPr>
              <w:ind w:left="122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9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Filing Date</w:t>
            </w:r>
          </w:p>
        </w:tc>
        <w:tc>
          <w:tcPr>
            <w:tcW w:w="9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860" w:type="dxa"/>
            <w:vAlign w:val="bottom"/>
          </w:tcPr>
          <w:p>
            <w:pPr>
              <w:jc w:val="center"/>
              <w:ind w:right="113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5000" w:type="dxa"/>
            <w:vAlign w:val="bottom"/>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1260" w:type="dxa"/>
            <w:vAlign w:val="bottom"/>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94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274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ectPr>
          <w:pgSz w:w="11900" w:h="16838" w:orient="portrait"/>
          <w:cols w:equalWidth="0" w:num="1">
            <w:col w:w="11100"/>
          </w:cols>
          <w:pgMar w:left="320" w:top="765" w:right="479" w:bottom="1440" w:gutter="0" w:footer="0" w:header="0"/>
        </w:sectPr>
      </w:pPr>
    </w:p>
    <w:p>
      <w:pPr>
        <w:spacing w:after="0" w:line="9" w:lineRule="exact"/>
        <w:rPr>
          <w:sz w:val="20"/>
          <w:szCs w:val="20"/>
          <w:color w:val="auto"/>
        </w:rPr>
      </w:pPr>
    </w:p>
    <w:p>
      <w:pPr>
        <w:ind w:left="1020" w:right="3580" w:hanging="714"/>
        <w:spacing w:after="0" w:line="237" w:lineRule="auto"/>
        <w:tabs>
          <w:tab w:leader="none" w:pos="100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u w:val="single" w:color="auto"/>
          <w:color w:val="0000FF"/>
        </w:rPr>
        <w:t>Certification of the Chief Executive Officer Pursuant to Section 302 of the Sarbanes-Oxley Act – Yogesh K. Gupta</w:t>
      </w:r>
    </w:p>
    <w:p>
      <w:pPr>
        <w:spacing w:after="0" w:line="10" w:lineRule="exact"/>
        <w:rPr>
          <w:sz w:val="20"/>
          <w:szCs w:val="20"/>
          <w:color w:val="auto"/>
        </w:rPr>
      </w:pPr>
    </w:p>
    <w:p>
      <w:pPr>
        <w:ind w:left="1020" w:right="3620" w:hanging="714"/>
        <w:spacing w:after="0" w:line="237" w:lineRule="auto"/>
        <w:tabs>
          <w:tab w:leader="none" w:pos="100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u w:val="single" w:color="auto"/>
          <w:color w:val="0000FF"/>
        </w:rPr>
        <w:t>Certification of the Chief Financial Officer Pursuant to Section 302 of the Sarbanes-Oxley Act – Anthony Folger</w:t>
      </w:r>
    </w:p>
    <w:p>
      <w:pPr>
        <w:spacing w:after="0" w:line="10" w:lineRule="exact"/>
        <w:rPr>
          <w:sz w:val="20"/>
          <w:szCs w:val="20"/>
          <w:color w:val="auto"/>
        </w:rPr>
      </w:pPr>
    </w:p>
    <w:p>
      <w:pPr>
        <w:ind w:left="260"/>
        <w:spacing w:after="0"/>
        <w:tabs>
          <w:tab w:leader="none" w:pos="100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u w:val="single" w:color="auto"/>
          <w:color w:val="0000FF"/>
        </w:rPr>
        <w:t>Certification Pursuant to Section 906 of the Sarbanes-Oxley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1020" w:right="3160" w:hanging="739"/>
        <w:spacing w:after="0" w:line="220" w:lineRule="auto"/>
        <w:tabs>
          <w:tab w:leader="none" w:pos="100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The following materials from Progress Software Corporation's Quarterly Report on Form 10-Q for the three months ended February 28, 2026, formatted in</w:t>
      </w:r>
    </w:p>
    <w:p>
      <w:pPr>
        <w:ind w:left="1020" w:right="3260"/>
        <w:spacing w:after="0" w:line="215" w:lineRule="auto"/>
        <w:rPr>
          <w:sz w:val="20"/>
          <w:szCs w:val="20"/>
          <w:color w:val="auto"/>
        </w:rPr>
      </w:pPr>
      <w:r>
        <w:rPr>
          <w:rFonts w:ascii="Times New Roman" w:cs="Times New Roman" w:eastAsia="Times New Roman" w:hAnsi="Times New Roman"/>
          <w:sz w:val="17"/>
          <w:szCs w:val="17"/>
          <w:color w:val="auto"/>
        </w:rPr>
        <w:t>iXBRL (Inline eXtensible Business Reporting Language): (i) Condensed Consolidated Balance Sheets as of February 28, 2026 and November 30, 2025;</w:t>
      </w:r>
    </w:p>
    <w:p>
      <w:pPr>
        <w:spacing w:after="0" w:line="1" w:lineRule="exact"/>
        <w:rPr>
          <w:sz w:val="20"/>
          <w:szCs w:val="20"/>
          <w:color w:val="auto"/>
        </w:rPr>
      </w:pPr>
    </w:p>
    <w:p>
      <w:pPr>
        <w:ind w:left="1020" w:right="3120" w:firstLine="5"/>
        <w:spacing w:after="0" w:line="208" w:lineRule="auto"/>
        <w:tabs>
          <w:tab w:leader="none" w:pos="128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Condensed Consolidated Statements of Operations for the three months ended February 28, 2026 and 2025; (iii) Condensed Consolidated Statements of Comprehensive Income for the three months ended February 28, 2026 and 2025;</w:t>
      </w:r>
    </w:p>
    <w:p>
      <w:pPr>
        <w:spacing w:after="0" w:line="1" w:lineRule="exact"/>
        <w:rPr>
          <w:rFonts w:ascii="Times New Roman" w:cs="Times New Roman" w:eastAsia="Times New Roman" w:hAnsi="Times New Roman"/>
          <w:sz w:val="18"/>
          <w:szCs w:val="18"/>
          <w:color w:val="auto"/>
        </w:rPr>
      </w:pPr>
    </w:p>
    <w:p>
      <w:pPr>
        <w:ind w:left="1020" w:right="3340" w:firstLine="5"/>
        <w:spacing w:after="0" w:line="218" w:lineRule="auto"/>
        <w:tabs>
          <w:tab w:leader="none" w:pos="132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Condensed Consolidated Statements of Stockholders' Equity for the three months ended February 28, 2026 and 2025; (v) Condensed Consolidated Statements of Cash Flows for the three months ended February 28, 2026 and 2025; and (vi) Notes to Condensed Consolidated Financial Statements.</w:t>
      </w:r>
    </w:p>
    <w:p>
      <w:pPr>
        <w:spacing w:after="0" w:line="11" w:lineRule="exact"/>
        <w:rPr>
          <w:sz w:val="20"/>
          <w:szCs w:val="20"/>
          <w:color w:val="auto"/>
        </w:rPr>
      </w:pPr>
    </w:p>
    <w:p>
      <w:pPr>
        <w:ind w:left="1020" w:right="3360" w:hanging="688"/>
        <w:spacing w:after="0" w:line="237"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2660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922" w:lineRule="exact"/>
        <w:rPr>
          <w:sz w:val="20"/>
          <w:szCs w:val="20"/>
          <w:color w:val="auto"/>
        </w:rPr>
      </w:pPr>
    </w:p>
    <w:p>
      <w:pPr>
        <w:sectPr>
          <w:pgSz w:w="11900" w:h="16838" w:orient="portrait"/>
          <w:cols w:equalWidth="0" w:num="2">
            <w:col w:w="9960" w:space="720"/>
            <w:col w:w="420"/>
          </w:cols>
          <w:pgMar w:left="320" w:top="765" w:right="479" w:bottom="1440" w:gutter="0" w:footer="0" w:header="0"/>
          <w:type w:val="continuous"/>
        </w:sectPr>
      </w:pPr>
    </w:p>
    <w:p>
      <w:pPr>
        <w:spacing w:after="0" w:line="2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765" w:right="479" w:bottom="1440" w:gutter="0" w:footer="0" w:header="0"/>
          <w:type w:val="continuous"/>
        </w:sectPr>
      </w:pPr>
    </w:p>
    <w:bookmarkStart w:id="29" w:name="page30"/>
    <w:bookmarkEnd w:id="2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6640" w:type="dxa"/>
            <w:vAlign w:val="bottom"/>
            <w:gridSpan w:val="3"/>
          </w:tcPr>
          <w:p>
            <w:pPr>
              <w:jc w:val="center"/>
              <w:ind w:right="3440"/>
              <w:spacing w:after="0"/>
              <w:rPr>
                <w:sz w:val="20"/>
                <w:szCs w:val="20"/>
                <w:color w:val="auto"/>
              </w:rPr>
            </w:pPr>
            <w:r>
              <w:rPr>
                <w:rFonts w:ascii="Times New Roman" w:cs="Times New Roman" w:eastAsia="Times New Roman" w:hAnsi="Times New Roman"/>
                <w:sz w:val="18"/>
                <w:szCs w:val="18"/>
                <w:color w:val="auto"/>
                <w:w w:val="98"/>
              </w:rPr>
              <w:t>PROGRESS SOFTWARE CORPORATION</w:t>
            </w:r>
          </w:p>
        </w:tc>
      </w:tr>
      <w:tr>
        <w:trPr>
          <w:trHeight w:val="237"/>
        </w:trPr>
        <w:tc>
          <w:tcPr>
            <w:tcW w:w="6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2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(Registrant)</w:t>
            </w:r>
          </w:p>
        </w:tc>
        <w:tc>
          <w:tcPr>
            <w:tcW w:w="3440" w:type="dxa"/>
            <w:vAlign w:val="bottom"/>
          </w:tcPr>
          <w:p>
            <w:pPr>
              <w:spacing w:after="0"/>
              <w:rPr>
                <w:sz w:val="20"/>
                <w:szCs w:val="20"/>
                <w:color w:val="auto"/>
              </w:rPr>
            </w:pPr>
          </w:p>
        </w:tc>
      </w:tr>
      <w:tr>
        <w:trPr>
          <w:trHeight w:val="540"/>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3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March 30, 2026</w:t>
            </w:r>
          </w:p>
        </w:tc>
        <w:tc>
          <w:tcPr>
            <w:tcW w:w="1540" w:type="dxa"/>
            <w:vAlign w:val="bottom"/>
          </w:tcPr>
          <w:p>
            <w:pPr>
              <w:spacing w:after="0"/>
              <w:rPr>
                <w:sz w:val="24"/>
                <w:szCs w:val="24"/>
                <w:color w:val="auto"/>
              </w:rPr>
            </w:pPr>
          </w:p>
        </w:tc>
        <w:tc>
          <w:tcPr>
            <w:tcW w:w="51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YOGESH K. GUPTA</w:t>
            </w:r>
          </w:p>
        </w:tc>
      </w:tr>
      <w:tr>
        <w:trPr>
          <w:trHeight w:val="218"/>
        </w:trPr>
        <w:tc>
          <w:tcPr>
            <w:tcW w:w="6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Yogesh K. Gupta</w:t>
            </w:r>
          </w:p>
        </w:tc>
      </w:tr>
      <w:tr>
        <w:trPr>
          <w:trHeight w:val="230"/>
        </w:trPr>
        <w:tc>
          <w:tcPr>
            <w:tcW w:w="66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6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99"/>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3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March 30, 2026</w:t>
            </w:r>
          </w:p>
        </w:tc>
        <w:tc>
          <w:tcPr>
            <w:tcW w:w="1540" w:type="dxa"/>
            <w:vAlign w:val="bottom"/>
          </w:tcPr>
          <w:p>
            <w:pPr>
              <w:spacing w:after="0"/>
              <w:rPr>
                <w:sz w:val="24"/>
                <w:szCs w:val="24"/>
                <w:color w:val="auto"/>
              </w:rPr>
            </w:pPr>
          </w:p>
        </w:tc>
        <w:tc>
          <w:tcPr>
            <w:tcW w:w="51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ANTHONY FOLGER</w:t>
            </w:r>
          </w:p>
        </w:tc>
      </w:tr>
      <w:tr>
        <w:trPr>
          <w:trHeight w:val="218"/>
        </w:trPr>
        <w:tc>
          <w:tcPr>
            <w:tcW w:w="6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Anthony Folger</w:t>
            </w:r>
          </w:p>
        </w:tc>
      </w:tr>
      <w:tr>
        <w:trPr>
          <w:trHeight w:val="229"/>
        </w:trPr>
        <w:tc>
          <w:tcPr>
            <w:tcW w:w="66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4"/>
        </w:trPr>
        <w:tc>
          <w:tcPr>
            <w:tcW w:w="6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99"/>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3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March 30, 2026</w:t>
            </w:r>
          </w:p>
        </w:tc>
        <w:tc>
          <w:tcPr>
            <w:tcW w:w="1540" w:type="dxa"/>
            <w:vAlign w:val="bottom"/>
          </w:tcPr>
          <w:p>
            <w:pPr>
              <w:spacing w:after="0"/>
              <w:rPr>
                <w:sz w:val="24"/>
                <w:szCs w:val="24"/>
                <w:color w:val="auto"/>
              </w:rPr>
            </w:pPr>
          </w:p>
        </w:tc>
        <w:tc>
          <w:tcPr>
            <w:tcW w:w="51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DOMENIC LOCOCO</w:t>
            </w:r>
          </w:p>
        </w:tc>
      </w:tr>
      <w:tr>
        <w:trPr>
          <w:trHeight w:val="218"/>
        </w:trPr>
        <w:tc>
          <w:tcPr>
            <w:tcW w:w="6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Domenic LoCoco</w:t>
            </w:r>
          </w:p>
        </w:tc>
      </w:tr>
      <w:tr>
        <w:trPr>
          <w:trHeight w:val="229"/>
        </w:trPr>
        <w:tc>
          <w:tcPr>
            <w:tcW w:w="66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Accounting Officer</w:t>
            </w:r>
          </w:p>
        </w:tc>
      </w:tr>
      <w:tr>
        <w:trPr>
          <w:trHeight w:val="234"/>
        </w:trPr>
        <w:tc>
          <w:tcPr>
            <w:tcW w:w="6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743"/>
        </w:trPr>
        <w:tc>
          <w:tcPr>
            <w:tcW w:w="6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2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3440" w:type="dxa"/>
            <w:vAlign w:val="bottom"/>
          </w:tcPr>
          <w:p>
            <w:pPr>
              <w:spacing w:after="0"/>
              <w:rPr>
                <w:sz w:val="24"/>
                <w:szCs w:val="24"/>
                <w:color w:val="auto"/>
              </w:rPr>
            </w:pPr>
          </w:p>
        </w:tc>
      </w:tr>
    </w:tbl>
    <w:p>
      <w:pPr>
        <w:sectPr>
          <w:pgSz w:w="11900" w:h="16838" w:orient="portrait"/>
          <w:cols w:equalWidth="0" w:num="1">
            <w:col w:w="11200"/>
          </w:cols>
          <w:pgMar w:left="320" w:top="765" w:right="37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Yogesh K. Gupta, certify that:</w:t>
      </w:r>
    </w:p>
    <w:p>
      <w:pPr>
        <w:spacing w:after="0" w:line="252" w:lineRule="exact"/>
        <w:rPr>
          <w:sz w:val="20"/>
          <w:szCs w:val="20"/>
          <w:color w:val="auto"/>
        </w:rPr>
      </w:pPr>
    </w:p>
    <w:p>
      <w:pPr>
        <w:ind w:left="180" w:hanging="172"/>
        <w:spacing w:after="0"/>
        <w:tabs>
          <w:tab w:leader="none" w:pos="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Progress Software Corporation;</w:t>
      </w:r>
    </w:p>
    <w:p>
      <w:pPr>
        <w:spacing w:after="0" w:line="252"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660" w:right="260" w:hanging="4"/>
        <w:spacing w:after="0" w:line="257" w:lineRule="auto"/>
        <w:tabs>
          <w:tab w:leader="none" w:pos="84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660" w:right="60" w:hanging="4"/>
        <w:spacing w:after="0" w:line="250" w:lineRule="auto"/>
        <w:tabs>
          <w:tab w:leader="none" w:pos="85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660" w:right="700" w:hanging="4"/>
        <w:spacing w:after="0" w:line="265" w:lineRule="auto"/>
        <w:tabs>
          <w:tab w:leader="none" w:pos="845"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60" w:right="80" w:hanging="4"/>
        <w:spacing w:after="0" w:line="255" w:lineRule="auto"/>
        <w:tabs>
          <w:tab w:leader="none" w:pos="85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2" w:lineRule="exact"/>
        <w:rPr>
          <w:rFonts w:ascii="Times New Roman" w:cs="Times New Roman" w:eastAsia="Times New Roman" w:hAnsi="Times New Roman"/>
          <w:sz w:val="18"/>
          <w:szCs w:val="18"/>
          <w:color w:val="auto"/>
        </w:rPr>
      </w:pPr>
    </w:p>
    <w:p>
      <w:pPr>
        <w:ind w:right="480" w:firstLine="8"/>
        <w:spacing w:after="0" w:line="282" w:lineRule="auto"/>
        <w:tabs>
          <w:tab w:leader="none" w:pos="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88" w:lineRule="exact"/>
        <w:rPr>
          <w:rFonts w:ascii="Times New Roman" w:cs="Times New Roman" w:eastAsia="Times New Roman" w:hAnsi="Times New Roman"/>
          <w:sz w:val="18"/>
          <w:szCs w:val="18"/>
          <w:color w:val="auto"/>
        </w:rPr>
      </w:pPr>
    </w:p>
    <w:p>
      <w:pPr>
        <w:ind w:left="660" w:right="100" w:hanging="4"/>
        <w:spacing w:after="0" w:line="261" w:lineRule="auto"/>
        <w:tabs>
          <w:tab w:leader="none" w:pos="84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60" w:right="40" w:hanging="4"/>
        <w:spacing w:after="0" w:line="260" w:lineRule="auto"/>
        <w:tabs>
          <w:tab w:leader="none" w:pos="85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30, 2026</w:t>
      </w: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YOGESH K.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1342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Yogesh K. Gupta</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887"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Anthony Folger, certify that:</w:t>
      </w:r>
    </w:p>
    <w:p>
      <w:pPr>
        <w:spacing w:after="0" w:line="252" w:lineRule="exact"/>
        <w:rPr>
          <w:sz w:val="20"/>
          <w:szCs w:val="20"/>
          <w:color w:val="auto"/>
        </w:rPr>
      </w:pPr>
    </w:p>
    <w:p>
      <w:pPr>
        <w:ind w:left="180" w:hanging="172"/>
        <w:spacing w:after="0"/>
        <w:tabs>
          <w:tab w:leader="none" w:pos="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Progress Software Corporation;</w:t>
      </w:r>
    </w:p>
    <w:p>
      <w:pPr>
        <w:spacing w:after="0" w:line="252"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660" w:right="260" w:hanging="4"/>
        <w:spacing w:after="0" w:line="257" w:lineRule="auto"/>
        <w:tabs>
          <w:tab w:leader="none" w:pos="84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660" w:right="60" w:hanging="4"/>
        <w:spacing w:after="0" w:line="250" w:lineRule="auto"/>
        <w:tabs>
          <w:tab w:leader="none" w:pos="85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660" w:right="700" w:hanging="4"/>
        <w:spacing w:after="0" w:line="265" w:lineRule="auto"/>
        <w:tabs>
          <w:tab w:leader="none" w:pos="845"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60" w:right="80" w:hanging="4"/>
        <w:spacing w:after="0" w:line="255" w:lineRule="auto"/>
        <w:tabs>
          <w:tab w:leader="none" w:pos="85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2" w:lineRule="exact"/>
        <w:rPr>
          <w:rFonts w:ascii="Times New Roman" w:cs="Times New Roman" w:eastAsia="Times New Roman" w:hAnsi="Times New Roman"/>
          <w:sz w:val="18"/>
          <w:szCs w:val="18"/>
          <w:color w:val="auto"/>
        </w:rPr>
      </w:pPr>
    </w:p>
    <w:p>
      <w:pPr>
        <w:ind w:right="480" w:firstLine="8"/>
        <w:spacing w:after="0" w:line="282" w:lineRule="auto"/>
        <w:tabs>
          <w:tab w:leader="none" w:pos="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88" w:lineRule="exact"/>
        <w:rPr>
          <w:rFonts w:ascii="Times New Roman" w:cs="Times New Roman" w:eastAsia="Times New Roman" w:hAnsi="Times New Roman"/>
          <w:sz w:val="18"/>
          <w:szCs w:val="18"/>
          <w:color w:val="auto"/>
        </w:rPr>
      </w:pPr>
    </w:p>
    <w:p>
      <w:pPr>
        <w:ind w:left="660" w:right="100" w:hanging="4"/>
        <w:spacing w:after="0" w:line="261" w:lineRule="auto"/>
        <w:tabs>
          <w:tab w:leader="none" w:pos="84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60" w:right="40" w:hanging="4"/>
        <w:spacing w:after="0" w:line="260" w:lineRule="auto"/>
        <w:tabs>
          <w:tab w:leader="none" w:pos="85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30, 2026</w:t>
      </w:r>
    </w:p>
    <w:p>
      <w:pPr>
        <w:spacing w:after="0" w:line="3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ANTHONY FOLGER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861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Anthony Folger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887"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25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Progress Software Corporation (the "Company") for the three months ended February 28, 2026, as filed with the Securities and Exchange Commission on the date hereof (the "Report"), each of the undersigned, Yogesh K. Gupta, President and Chief Executive Officer, and Anthony Folger, Executive Vice President and Chief Financial Officer, of the Company, certifies, to the best knowledge and belief of the signatory, pursuant to 18 U.S.C. Section 1350, as adopted pursuant to Section 906 of the Sarbanes-Oxley Act of 2002, that:</w:t>
      </w:r>
    </w:p>
    <w:p>
      <w:pPr>
        <w:spacing w:after="0" w:line="207" w:lineRule="exact"/>
        <w:rPr>
          <w:sz w:val="20"/>
          <w:szCs w:val="20"/>
          <w:color w:val="auto"/>
        </w:rPr>
      </w:pPr>
    </w:p>
    <w:p>
      <w:pPr>
        <w:ind w:left="840" w:hanging="184"/>
        <w:spacing w:after="0"/>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660" w:right="740" w:hanging="4"/>
        <w:spacing w:after="0" w:line="282" w:lineRule="auto"/>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1040" w:type="dxa"/>
        <w:tblCellMar>
          <w:top w:w="0" w:type="dxa"/>
          <w:left w:w="0" w:type="dxa"/>
          <w:bottom w:w="0" w:type="dxa"/>
          <w:right w:w="0" w:type="dxa"/>
        </w:tblCellMar>
      </w:tblPr>
      <w:tr>
        <w:trPr>
          <w:trHeight w:val="234"/>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YOGESH K. GUPTA</w:t>
            </w: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ANTHONY FOLGER</w:t>
            </w:r>
          </w:p>
        </w:tc>
      </w:tr>
      <w:tr>
        <w:trPr>
          <w:trHeight w:val="228"/>
        </w:trPr>
        <w:tc>
          <w:tcPr>
            <w:tcW w:w="4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1400" w:type="dxa"/>
            <w:vAlign w:val="bottom"/>
          </w:tcPr>
          <w:p>
            <w:pPr>
              <w:spacing w:after="0"/>
              <w:rPr>
                <w:sz w:val="19"/>
                <w:szCs w:val="19"/>
                <w:color w:val="auto"/>
              </w:rPr>
            </w:pPr>
          </w:p>
        </w:tc>
        <w:tc>
          <w:tcPr>
            <w:tcW w:w="4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441"/>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Date:   March 30, 2026</w:t>
            </w: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30, 2026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lowerRoman"/>
      <w:start w:val="2"/>
    </w:lvl>
  </w:abstractNum>
  <w:abstractNum w:abstractNumId="4">
    <w:nsid w:val="41B71EFB"/>
    <w:multiLevelType w:val="hybridMultilevel"/>
    <w:lvl w:ilvl="0">
      <w:lvlJc w:val="left"/>
      <w:lvlText w:val="(%1)"/>
      <w:numFmt w:val="lowerRoman"/>
      <w:start w:val="4"/>
    </w:lvl>
  </w:abstractNum>
  <w:abstractNum w:abstractNumId="5">
    <w:nsid w:val="79E2A9E3"/>
    <w:multiLevelType w:val="hybridMultilevel"/>
    <w:lvl w:ilvl="0">
      <w:lvlJc w:val="left"/>
      <w:lvlText w:val="%1"/>
      <w:numFmt w:val="decimal"/>
      <w:start w:val="104"/>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2026-03-31T05:08:18Z</dcterms:created>
  <dcterms:modified xsi:type="dcterms:W3CDTF">2026-03-31T05:08:18Z</dcterms:modified>
</cp:coreProperties>
</file>