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FOLGER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20"/>
        <w:spacing w:after="0" w:line="365" w:lineRule="auto"/>
        <w:rPr>
          <w:sz w:val="20"/>
          <w:szCs w:val="20"/>
          <w:color w:val="auto"/>
        </w:rPr>
      </w:pPr>
      <w:r>
        <w:rPr>
          <w:rFonts w:ascii="Times New Roman" w:cs="Times New Roman" w:eastAsia="Times New Roman" w:hAnsi="Times New Roman"/>
          <w:sz w:val="17"/>
          <w:szCs w:val="17"/>
          <w:color w:val="0000FF"/>
        </w:rPr>
        <w:t>C/O PROGRESS SOFTWARE CORPORATION 15 WAYSIDE ROAD, SUITE 400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BURLINGTON 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01803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PROGRESS SOFTWARE CORP /MA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32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PRGS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33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840"/>
              <w:spacing w:after="0" w:line="185" w:lineRule="exact"/>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26"/>
        </w:trPr>
        <w:tc>
          <w:tcPr>
            <w:tcW w:w="3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3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4,074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29.05</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49,202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400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29.96</w:t>
            </w:r>
            <w:r>
              <w:rPr>
                <w:rFonts w:ascii="Times New Roman" w:cs="Times New Roman" w:eastAsia="Times New Roman" w:hAnsi="Times New Roman"/>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48,802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preexisting Rule 10b5-1 trading plan adopted by the Reporting Person on February 4, 2026, prior to the recent volatility in the Company's stock price and in compliance with all applicable laws and regulations. The sale is reported on two rows due to being executed in multiple trades across a price range that exceeded $1.</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tranche of the sale was executed in multiple trades at prices ranging from $28.82 to $29.59 per share. The price reported represents the weighted average sale price of these trades. The Reporting Person hereby undertakes to provide upon request to the SEC staff, the issuer, or a security holder of the issuer, full information regarding the shares sold at each separate price.</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tranche of the sale was executed in multiple trades at prices ranging from $29.93 to $30.03 per share. The price reported represents the weighted average sale price of these trades. The Reporting Person hereby undertakes to provide upon request to the SEC staff, the issuer, or a security holder of the issuer, full information regarding the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YuFan Stephanie Wang,</w:t>
            </w:r>
          </w:p>
        </w:tc>
        <w:tc>
          <w:tcPr>
            <w:tcW w:w="260" w:type="dxa"/>
            <w:vAlign w:val="bottom"/>
          </w:tcPr>
          <w:p>
            <w:pPr>
              <w:spacing w:after="0"/>
              <w:rPr>
                <w:sz w:val="17"/>
                <w:szCs w:val="17"/>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760" w:type="dxa"/>
            <w:vAlign w:val="bottom"/>
            <w:gridSpan w:val="2"/>
            <w:vMerge w:val="restart"/>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6737" TargetMode="External"/><Relationship Id="rId14" Type="http://schemas.openxmlformats.org/officeDocument/2006/relationships/hyperlink" Target="http://www.sec.gov/cgi-bin/browse-edgar?action=getcompany&amp;CIK=00008761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2026-05-20T15:19:14Z</dcterms:created>
  <dcterms:modified xsi:type="dcterms:W3CDTF">2026-05-20T15:19:14Z</dcterms:modified>
</cp:coreProperties>
</file>