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80010</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97790</wp:posOffset>
            </wp:positionV>
            <wp:extent cx="1714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May 31, 2023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ind w:left="700" w:hanging="674"/>
        <w:spacing w:after="0" w:line="185" w:lineRule="auto"/>
        <w:tabs>
          <w:tab w:leader="none" w:pos="7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27"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For the transition period from _____to 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0-19417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84455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PROGRESS SOFTWARE CORPORATION</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89535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jc w:val="center"/>
              <w:ind w:left="1341"/>
              <w:spacing w:after="0"/>
              <w:rPr>
                <w:sz w:val="20"/>
                <w:szCs w:val="20"/>
                <w:color w:val="auto"/>
              </w:rPr>
            </w:pPr>
            <w:r>
              <w:rPr>
                <w:rFonts w:ascii="Arial" w:cs="Arial" w:eastAsia="Arial" w:hAnsi="Arial"/>
                <w:sz w:val="16"/>
                <w:szCs w:val="16"/>
                <w:b w:val="1"/>
                <w:bCs w:val="1"/>
                <w:color w:val="auto"/>
                <w:w w:val="91"/>
              </w:rPr>
              <w:t>Delaware</w:t>
            </w:r>
          </w:p>
        </w:tc>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ind w:left="780"/>
              <w:spacing w:after="0"/>
              <w:rPr>
                <w:sz w:val="20"/>
                <w:szCs w:val="20"/>
                <w:color w:val="auto"/>
              </w:rPr>
            </w:pPr>
            <w:r>
              <w:rPr>
                <w:rFonts w:ascii="Arial" w:cs="Arial" w:eastAsia="Arial" w:hAnsi="Arial"/>
                <w:sz w:val="16"/>
                <w:szCs w:val="16"/>
                <w:b w:val="1"/>
                <w:bCs w:val="1"/>
                <w:color w:val="auto"/>
              </w:rPr>
              <w:t>04-2746201</w:t>
            </w:r>
          </w:p>
        </w:tc>
        <w:tc>
          <w:tcPr>
            <w:tcW w:w="0" w:type="dxa"/>
            <w:vAlign w:val="bottom"/>
          </w:tcPr>
          <w:p>
            <w:pPr>
              <w:spacing w:after="0"/>
              <w:rPr>
                <w:sz w:val="1"/>
                <w:szCs w:val="1"/>
                <w:color w:val="auto"/>
              </w:rPr>
            </w:pPr>
          </w:p>
        </w:tc>
      </w:tr>
      <w:tr>
        <w:trPr>
          <w:trHeight w:val="183"/>
        </w:trPr>
        <w:tc>
          <w:tcPr>
            <w:tcW w:w="7260" w:type="dxa"/>
            <w:vAlign w:val="bottom"/>
            <w:gridSpan w:val="4"/>
          </w:tcPr>
          <w:p>
            <w:pPr>
              <w:jc w:val="center"/>
              <w:ind w:right="20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320" w:type="dxa"/>
            <w:vAlign w:val="bottom"/>
          </w:tcPr>
          <w:p>
            <w:pPr>
              <w:ind w:left="140"/>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538"/>
        </w:trPr>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15 Wayside Road, Suite 400</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Burlington, Massachusetts 01803</w:t>
            </w: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3480" w:type="dxa"/>
            <w:vAlign w:val="bottom"/>
            <w:gridSpan w:val="3"/>
          </w:tcPr>
          <w:p>
            <w:pPr>
              <w:jc w:val="center"/>
              <w:ind w:left="126"/>
              <w:spacing w:after="0"/>
              <w:rPr>
                <w:sz w:val="20"/>
                <w:szCs w:val="20"/>
                <w:color w:val="auto"/>
              </w:rPr>
            </w:pPr>
            <w:r>
              <w:rPr>
                <w:rFonts w:ascii="Arial" w:cs="Arial" w:eastAsia="Arial" w:hAnsi="Arial"/>
                <w:sz w:val="14"/>
                <w:szCs w:val="14"/>
                <w:color w:val="auto"/>
                <w:w w:val="95"/>
              </w:rPr>
              <w:t>(Address of principal executive offices) (Zip code)</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3780" w:type="dxa"/>
            <w:vAlign w:val="bottom"/>
          </w:tcPr>
          <w:p>
            <w:pPr>
              <w:spacing w:after="0"/>
              <w:rPr>
                <w:sz w:val="24"/>
                <w:szCs w:val="24"/>
                <w:color w:val="auto"/>
              </w:rPr>
            </w:pPr>
          </w:p>
        </w:tc>
        <w:tc>
          <w:tcPr>
            <w:tcW w:w="3200" w:type="dxa"/>
            <w:vAlign w:val="bottom"/>
            <w:gridSpan w:val="2"/>
          </w:tcPr>
          <w:p>
            <w:pPr>
              <w:jc w:val="center"/>
              <w:ind w:left="426"/>
              <w:spacing w:after="0"/>
              <w:rPr>
                <w:sz w:val="20"/>
                <w:szCs w:val="20"/>
                <w:color w:val="auto"/>
              </w:rPr>
            </w:pPr>
            <w:r>
              <w:rPr>
                <w:rFonts w:ascii="Arial" w:cs="Arial" w:eastAsia="Arial" w:hAnsi="Arial"/>
                <w:sz w:val="16"/>
                <w:szCs w:val="16"/>
                <w:b w:val="1"/>
                <w:bCs w:val="1"/>
                <w:color w:val="auto"/>
                <w:w w:val="93"/>
              </w:rPr>
              <w:t>(781) 280-4000</w:t>
            </w: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3480" w:type="dxa"/>
            <w:vAlign w:val="bottom"/>
            <w:gridSpan w:val="3"/>
          </w:tcPr>
          <w:p>
            <w:pPr>
              <w:jc w:val="center"/>
              <w:ind w:left="126"/>
              <w:spacing w:after="0"/>
              <w:rPr>
                <w:sz w:val="20"/>
                <w:szCs w:val="20"/>
                <w:color w:val="auto"/>
              </w:rPr>
            </w:pPr>
            <w:r>
              <w:rPr>
                <w:rFonts w:ascii="Arial" w:cs="Arial" w:eastAsia="Arial" w:hAnsi="Arial"/>
                <w:sz w:val="14"/>
                <w:szCs w:val="14"/>
                <w:color w:val="auto"/>
                <w:w w:val="92"/>
              </w:rPr>
              <w:t>(Registrant’s telephone number, including area code)</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Not applicable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6800" w:type="dxa"/>
            <w:vAlign w:val="bottom"/>
            <w:gridSpan w:val="4"/>
          </w:tcPr>
          <w:p>
            <w:pPr>
              <w:jc w:val="center"/>
              <w:ind w:right="3021"/>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0" w:type="dxa"/>
            <w:vAlign w:val="bottom"/>
          </w:tcPr>
          <w:p>
            <w:pPr>
              <w:spacing w:after="0"/>
              <w:rPr>
                <w:sz w:val="1"/>
                <w:szCs w:val="1"/>
                <w:color w:val="auto"/>
              </w:rPr>
            </w:pPr>
          </w:p>
        </w:tc>
      </w:tr>
      <w:tr>
        <w:trPr>
          <w:trHeight w:val="120"/>
        </w:trPr>
        <w:tc>
          <w:tcPr>
            <w:tcW w:w="3780" w:type="dxa"/>
            <w:vAlign w:val="bottom"/>
            <w:vMerge w:val="restart"/>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500" w:type="dxa"/>
            <w:vAlign w:val="bottom"/>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jc w:val="center"/>
              <w:ind w:left="361"/>
              <w:spacing w:after="0"/>
              <w:rPr>
                <w:sz w:val="20"/>
                <w:szCs w:val="20"/>
                <w:color w:val="auto"/>
              </w:rPr>
            </w:pPr>
            <w:r>
              <w:rPr>
                <w:rFonts w:ascii="Arial" w:cs="Arial" w:eastAsia="Arial" w:hAnsi="Arial"/>
                <w:sz w:val="16"/>
                <w:szCs w:val="16"/>
                <w:color w:val="auto"/>
                <w:w w:val="92"/>
              </w:rPr>
              <w:t>Title of each class</w:t>
            </w:r>
          </w:p>
        </w:tc>
        <w:tc>
          <w:tcPr>
            <w:tcW w:w="500" w:type="dxa"/>
            <w:vAlign w:val="bottom"/>
          </w:tcPr>
          <w:p>
            <w:pPr>
              <w:spacing w:after="0"/>
              <w:rPr>
                <w:sz w:val="24"/>
                <w:szCs w:val="24"/>
                <w:color w:val="auto"/>
              </w:rPr>
            </w:pPr>
          </w:p>
        </w:tc>
        <w:tc>
          <w:tcPr>
            <w:tcW w:w="29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Trading Symbol(s)</w:t>
            </w:r>
          </w:p>
        </w:tc>
        <w:tc>
          <w:tcPr>
            <w:tcW w:w="3320" w:type="dxa"/>
            <w:vAlign w:val="bottom"/>
          </w:tcPr>
          <w:p>
            <w:pPr>
              <w:ind w:left="440"/>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16"/>
        </w:trPr>
        <w:tc>
          <w:tcPr>
            <w:tcW w:w="3780" w:type="dxa"/>
            <w:vAlign w:val="bottom"/>
          </w:tcPr>
          <w:p>
            <w:pPr>
              <w:jc w:val="center"/>
              <w:ind w:left="361"/>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500" w:type="dxa"/>
            <w:vAlign w:val="bottom"/>
          </w:tcPr>
          <w:p>
            <w:pPr>
              <w:spacing w:after="0"/>
              <w:rPr>
                <w:sz w:val="18"/>
                <w:szCs w:val="18"/>
                <w:color w:val="auto"/>
              </w:rPr>
            </w:pPr>
          </w:p>
        </w:tc>
        <w:tc>
          <w:tcPr>
            <w:tcW w:w="2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PRGS</w:t>
            </w:r>
          </w:p>
        </w:tc>
        <w:tc>
          <w:tcPr>
            <w:tcW w:w="3320" w:type="dxa"/>
            <w:vAlign w:val="bottom"/>
          </w:tcPr>
          <w:p>
            <w:pPr>
              <w:ind w:left="7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77" w:lineRule="exact"/>
        <w:rPr>
          <w:sz w:val="24"/>
          <w:szCs w:val="24"/>
          <w:color w:val="auto"/>
        </w:rPr>
      </w:pPr>
    </w:p>
    <w:p>
      <w:pPr>
        <w:spacing w:after="0" w:line="27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ind w:right="38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8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98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4840" w:type="dxa"/>
            <w:vAlign w:val="bottom"/>
          </w:tcPr>
          <w:p>
            <w:pPr>
              <w:ind w:left="4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200" w:type="dxa"/>
            <w:vAlign w:val="bottom"/>
          </w:tcPr>
          <w:p>
            <w:pPr>
              <w:ind w:left="98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2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8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08" w:lineRule="exact"/>
        <w:rPr>
          <w:sz w:val="24"/>
          <w:szCs w:val="24"/>
          <w:color w:val="auto"/>
        </w:rPr>
      </w:pPr>
    </w:p>
    <w:p>
      <w:pPr>
        <w:ind w:right="5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As of June 29, 2023, there were 43,365,973 shares of the registrant’s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PROGRESS SOFTWARE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31, 2023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080" w:type="dxa"/>
            <w:vAlign w:val="bottom"/>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3"/>
          </w:tcPr>
          <w:p>
            <w:pPr>
              <w:spacing w:after="0"/>
              <w:rPr>
                <w:sz w:val="20"/>
                <w:szCs w:val="20"/>
                <w:color w:val="auto"/>
              </w:rPr>
            </w:pPr>
            <w:r>
              <w:rPr>
                <w:rFonts w:ascii="Arial" w:cs="Arial" w:eastAsia="Arial" w:hAnsi="Arial"/>
                <w:sz w:val="18"/>
                <w:szCs w:val="18"/>
                <w:color w:val="0000FF"/>
                <w:w w:val="87"/>
              </w:rPr>
              <w:t>Financial Statements (Unaudited)</w:t>
            </w:r>
          </w:p>
        </w:tc>
        <w:tc>
          <w:tcPr>
            <w:tcW w:w="6700" w:type="dxa"/>
            <w:vAlign w:val="bottom"/>
            <w:gridSpan w:val="8"/>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60" w:type="dxa"/>
            <w:vAlign w:val="bottom"/>
            <w:gridSpan w:val="5"/>
          </w:tcPr>
          <w:p>
            <w:pPr>
              <w:spacing w:after="0"/>
              <w:rPr>
                <w:sz w:val="20"/>
                <w:szCs w:val="20"/>
                <w:color w:val="auto"/>
              </w:rPr>
            </w:pPr>
            <w:r>
              <w:rPr>
                <w:rFonts w:ascii="Arial" w:cs="Arial" w:eastAsia="Arial" w:hAnsi="Arial"/>
                <w:sz w:val="18"/>
                <w:szCs w:val="18"/>
                <w:color w:val="0000FF"/>
                <w:w w:val="89"/>
              </w:rPr>
              <w:t>Condensed Consolidated Balance Sheets as of May 31, 2023 and November 30, 2022</w:t>
            </w:r>
          </w:p>
        </w:tc>
        <w:tc>
          <w:tcPr>
            <w:tcW w:w="2720" w:type="dxa"/>
            <w:vAlign w:val="bottom"/>
            <w:gridSpan w:val="5"/>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60" w:type="dxa"/>
            <w:vAlign w:val="bottom"/>
            <w:gridSpan w:val="7"/>
          </w:tcPr>
          <w:p>
            <w:pPr>
              <w:spacing w:after="0"/>
              <w:rPr>
                <w:sz w:val="20"/>
                <w:szCs w:val="20"/>
                <w:color w:val="auto"/>
              </w:rPr>
            </w:pPr>
            <w:r>
              <w:rPr>
                <w:rFonts w:ascii="Arial" w:cs="Arial" w:eastAsia="Arial" w:hAnsi="Arial"/>
                <w:sz w:val="18"/>
                <w:szCs w:val="18"/>
                <w:color w:val="0000FF"/>
                <w:w w:val="89"/>
              </w:rPr>
              <w:t>Condensed Consolidated Statements of Operations for the three and six months ended May 31, 2023 and 2022</w:t>
            </w:r>
          </w:p>
        </w:tc>
        <w:tc>
          <w:tcPr>
            <w:tcW w:w="920" w:type="dxa"/>
            <w:vAlign w:val="bottom"/>
            <w:gridSpan w:val="3"/>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80" w:type="dxa"/>
            <w:vAlign w:val="bottom"/>
            <w:gridSpan w:val="10"/>
          </w:tcPr>
          <w:p>
            <w:pPr>
              <w:spacing w:after="0"/>
              <w:rPr>
                <w:sz w:val="20"/>
                <w:szCs w:val="20"/>
                <w:color w:val="auto"/>
              </w:rPr>
            </w:pPr>
            <w:r>
              <w:rPr>
                <w:rFonts w:ascii="Arial" w:cs="Arial" w:eastAsia="Arial" w:hAnsi="Arial"/>
                <w:sz w:val="18"/>
                <w:szCs w:val="18"/>
                <w:color w:val="0000FF"/>
                <w:w w:val="89"/>
              </w:rPr>
              <w:t>Condensed Consolidated Statements of Comprehensive Income for the three and six months ended May 31, 2023 and 2022</w:t>
            </w:r>
          </w:p>
        </w:tc>
        <w:tc>
          <w:tcPr>
            <w:tcW w:w="112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80" w:type="dxa"/>
            <w:vAlign w:val="bottom"/>
            <w:gridSpan w:val="10"/>
          </w:tcPr>
          <w:p>
            <w:pPr>
              <w:spacing w:after="0"/>
              <w:rPr>
                <w:sz w:val="20"/>
                <w:szCs w:val="20"/>
                <w:color w:val="auto"/>
              </w:rPr>
            </w:pPr>
            <w:r>
              <w:rPr>
                <w:rFonts w:ascii="Arial" w:cs="Arial" w:eastAsia="Arial" w:hAnsi="Arial"/>
                <w:sz w:val="18"/>
                <w:szCs w:val="18"/>
                <w:color w:val="0000FF"/>
                <w:w w:val="92"/>
              </w:rPr>
              <w:t>Condensed Consolidated Statements of Stockholders' Equity for the three and six months ended May 31, 2023 and 2022</w:t>
            </w:r>
          </w:p>
        </w:tc>
        <w:tc>
          <w:tcPr>
            <w:tcW w:w="1120" w:type="dxa"/>
            <w:vAlign w:val="bottom"/>
            <w:gridSpan w:val="3"/>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gridSpan w:val="9"/>
          </w:tcPr>
          <w:p>
            <w:pPr>
              <w:spacing w:after="0"/>
              <w:rPr>
                <w:sz w:val="20"/>
                <w:szCs w:val="20"/>
                <w:color w:val="auto"/>
              </w:rPr>
            </w:pPr>
            <w:r>
              <w:rPr>
                <w:rFonts w:ascii="Arial" w:cs="Arial" w:eastAsia="Arial" w:hAnsi="Arial"/>
                <w:sz w:val="18"/>
                <w:szCs w:val="18"/>
                <w:color w:val="0000FF"/>
                <w:w w:val="96"/>
              </w:rPr>
              <w:t>Condensed Consolidated Statements of Cash Flows for the three and six months ended May 31, 2023 and 2022</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000" w:type="dxa"/>
            <w:vAlign w:val="bottom"/>
            <w:gridSpan w:val="5"/>
          </w:tcPr>
          <w:p>
            <w:pPr>
              <w:spacing w:after="0"/>
              <w:rPr>
                <w:sz w:val="18"/>
                <w:szCs w:val="18"/>
                <w:color w:val="auto"/>
              </w:rPr>
            </w:pPr>
          </w:p>
        </w:tc>
        <w:tc>
          <w:tcPr>
            <w:tcW w:w="8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10</w:t>
            </w: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080" w:type="dxa"/>
            <w:vAlign w:val="bottom"/>
            <w:gridSpan w:val="1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20" w:type="dxa"/>
            <w:vAlign w:val="bottom"/>
            <w:gridSpan w:val="3"/>
          </w:tcPr>
          <w:p>
            <w:pPr>
              <w:jc w:val="right"/>
              <w:spacing w:after="0"/>
              <w:rPr>
                <w:sz w:val="20"/>
                <w:szCs w:val="20"/>
                <w:color w:val="auto"/>
              </w:rPr>
            </w:pPr>
            <w:r>
              <w:rPr>
                <w:rFonts w:ascii="Arial" w:cs="Arial" w:eastAsia="Arial" w:hAnsi="Arial"/>
                <w:sz w:val="18"/>
                <w:szCs w:val="18"/>
                <w:color w:val="0000FF"/>
              </w:rPr>
              <w:t>21</w:t>
            </w: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640" w:type="dxa"/>
            <w:vAlign w:val="bottom"/>
            <w:gridSpan w:val="4"/>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Controls and Procedures</w:t>
            </w:r>
          </w:p>
        </w:tc>
        <w:tc>
          <w:tcPr>
            <w:tcW w:w="474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4340" w:type="dxa"/>
            <w:vAlign w:val="bottom"/>
            <w:gridSpan w:val="7"/>
          </w:tcPr>
          <w:p>
            <w:pPr>
              <w:spacing w:after="0"/>
              <w:rPr>
                <w:sz w:val="20"/>
                <w:szCs w:val="20"/>
                <w:color w:val="auto"/>
              </w:rPr>
            </w:pPr>
            <w:r>
              <w:rPr>
                <w:rFonts w:ascii="Arial" w:cs="Arial" w:eastAsia="Arial" w:hAnsi="Arial"/>
                <w:sz w:val="18"/>
                <w:szCs w:val="18"/>
                <w:b w:val="1"/>
                <w:bCs w:val="1"/>
                <w:color w:val="0000FF"/>
              </w:rPr>
              <w:t>OTHER INFORMATION</w:t>
            </w:r>
          </w:p>
        </w:tc>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79"/>
        </w:trPr>
        <w:tc>
          <w:tcPr>
            <w:tcW w:w="1000" w:type="dxa"/>
            <w:vAlign w:val="bottom"/>
          </w:tcPr>
          <w:p>
            <w:pPr>
              <w:ind w:left="40"/>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680" w:type="dxa"/>
            <w:vAlign w:val="bottom"/>
            <w:tcBorders>
              <w:top w:val="single" w:sz="8" w:color="0000FF"/>
            </w:tcBorders>
          </w:tcPr>
          <w:p>
            <w:pPr>
              <w:spacing w:after="0"/>
              <w:rPr>
                <w:sz w:val="24"/>
                <w:szCs w:val="24"/>
                <w:color w:val="auto"/>
              </w:rPr>
            </w:pPr>
          </w:p>
        </w:tc>
        <w:tc>
          <w:tcPr>
            <w:tcW w:w="23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36</w:t>
            </w:r>
          </w:p>
        </w:tc>
        <w:tc>
          <w:tcPr>
            <w:tcW w:w="40" w:type="dxa"/>
            <w:vAlign w:val="bottom"/>
          </w:tcPr>
          <w:p>
            <w:pPr>
              <w:spacing w:after="0"/>
              <w:rPr>
                <w:sz w:val="24"/>
                <w:szCs w:val="24"/>
                <w:color w:val="auto"/>
              </w:rPr>
            </w:pPr>
          </w:p>
        </w:tc>
      </w:tr>
      <w:tr>
        <w:trPr>
          <w:trHeight w:val="210"/>
        </w:trPr>
        <w:tc>
          <w:tcPr>
            <w:tcW w:w="1000" w:type="dxa"/>
            <w:vAlign w:val="bottom"/>
          </w:tcPr>
          <w:p>
            <w:pPr>
              <w:ind w:left="40"/>
              <w:spacing w:after="0"/>
              <w:rPr>
                <w:sz w:val="20"/>
                <w:szCs w:val="20"/>
                <w:color w:val="auto"/>
              </w:rPr>
            </w:pPr>
            <w:r>
              <w:rPr>
                <w:rFonts w:ascii="Arial" w:cs="Arial" w:eastAsia="Arial" w:hAnsi="Arial"/>
                <w:sz w:val="18"/>
                <w:szCs w:val="18"/>
                <w:color w:val="auto"/>
              </w:rPr>
              <w:t>Item 1A.</w:t>
            </w:r>
          </w:p>
        </w:tc>
        <w:tc>
          <w:tcPr>
            <w:tcW w:w="434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5860" w:type="dxa"/>
            <w:vAlign w:val="bottom"/>
            <w:gridSpan w:val="2"/>
          </w:tcPr>
          <w:p>
            <w:pPr>
              <w:jc w:val="right"/>
              <w:spacing w:after="0"/>
              <w:rPr>
                <w:sz w:val="20"/>
                <w:szCs w:val="20"/>
                <w:color w:val="auto"/>
              </w:rPr>
            </w:pPr>
            <w:r>
              <w:rPr>
                <w:rFonts w:ascii="Arial" w:cs="Arial" w:eastAsia="Arial" w:hAnsi="Arial"/>
                <w:sz w:val="18"/>
                <w:szCs w:val="18"/>
                <w:color w:val="0000FF"/>
              </w:rPr>
              <w:t>36</w:t>
            </w:r>
          </w:p>
        </w:tc>
        <w:tc>
          <w:tcPr>
            <w:tcW w:w="4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00" w:type="dxa"/>
            <w:vAlign w:val="bottom"/>
          </w:tcPr>
          <w:p>
            <w:pPr>
              <w:ind w:left="4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680" w:type="dxa"/>
            <w:vAlign w:val="bottom"/>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38</w:t>
            </w:r>
          </w:p>
        </w:tc>
        <w:tc>
          <w:tcPr>
            <w:tcW w:w="40" w:type="dxa"/>
            <w:vAlign w:val="bottom"/>
          </w:tcPr>
          <w:p>
            <w:pPr>
              <w:spacing w:after="0"/>
              <w:rPr>
                <w:sz w:val="19"/>
                <w:szCs w:val="19"/>
                <w:color w:val="auto"/>
              </w:rPr>
            </w:pPr>
          </w:p>
        </w:tc>
      </w:tr>
      <w:tr>
        <w:trPr>
          <w:trHeight w:val="210"/>
        </w:trPr>
        <w:tc>
          <w:tcPr>
            <w:tcW w:w="1000" w:type="dxa"/>
            <w:vAlign w:val="bottom"/>
          </w:tcPr>
          <w:p>
            <w:pPr>
              <w:ind w:left="4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3020" w:type="dxa"/>
            <w:vAlign w:val="bottom"/>
            <w:gridSpan w:val="3"/>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38</w:t>
            </w:r>
          </w:p>
        </w:tc>
        <w:tc>
          <w:tcPr>
            <w:tcW w:w="40" w:type="dxa"/>
            <w:vAlign w:val="bottom"/>
          </w:tcPr>
          <w:p>
            <w:pPr>
              <w:spacing w:after="0"/>
              <w:rPr>
                <w:sz w:val="18"/>
                <w:szCs w:val="18"/>
                <w:color w:val="auto"/>
              </w:rPr>
            </w:pPr>
          </w:p>
        </w:tc>
      </w:tr>
      <w:tr>
        <w:trPr>
          <w:trHeight w:val="210"/>
        </w:trPr>
        <w:tc>
          <w:tcPr>
            <w:tcW w:w="1000" w:type="dxa"/>
            <w:vAlign w:val="bottom"/>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3740" w:type="dxa"/>
            <w:vAlign w:val="bottom"/>
            <w:gridSpan w:val="6"/>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39</w:t>
            </w:r>
          </w:p>
        </w:tc>
        <w:tc>
          <w:tcPr>
            <w:tcW w:w="40" w:type="dxa"/>
            <w:vAlign w:val="bottom"/>
          </w:tcPr>
          <w:p>
            <w:pPr>
              <w:spacing w:after="0"/>
              <w:rPr>
                <w:sz w:val="18"/>
                <w:szCs w:val="18"/>
                <w:color w:val="auto"/>
              </w:rPr>
            </w:pPr>
          </w:p>
        </w:tc>
      </w:tr>
      <w:tr>
        <w:trPr>
          <w:trHeight w:val="493"/>
        </w:trPr>
        <w:tc>
          <w:tcPr>
            <w:tcW w:w="1000" w:type="dxa"/>
            <w:vAlign w:val="bottom"/>
          </w:tcPr>
          <w:p>
            <w:pPr>
              <w:spacing w:after="0"/>
              <w:rPr>
                <w:sz w:val="24"/>
                <w:szCs w:val="24"/>
                <w:color w:val="auto"/>
              </w:rPr>
            </w:pPr>
          </w:p>
        </w:tc>
        <w:tc>
          <w:tcPr>
            <w:tcW w:w="4340" w:type="dxa"/>
            <w:vAlign w:val="bottom"/>
            <w:gridSpan w:val="7"/>
          </w:tcPr>
          <w:p>
            <w:pPr>
              <w:spacing w:after="0"/>
              <w:rPr>
                <w:sz w:val="20"/>
                <w:szCs w:val="20"/>
                <w:color w:val="auto"/>
              </w:rPr>
            </w:pPr>
            <w:r>
              <w:rPr>
                <w:rFonts w:ascii="Arial" w:cs="Arial" w:eastAsia="Arial" w:hAnsi="Arial"/>
                <w:sz w:val="18"/>
                <w:szCs w:val="18"/>
                <w:color w:val="0000FF"/>
              </w:rPr>
              <w:t>Signatures</w:t>
            </w:r>
          </w:p>
        </w:tc>
        <w:tc>
          <w:tcPr>
            <w:tcW w:w="5860" w:type="dxa"/>
            <w:vAlign w:val="bottom"/>
            <w:gridSpan w:val="2"/>
          </w:tcPr>
          <w:p>
            <w:pPr>
              <w:jc w:val="right"/>
              <w:spacing w:after="0"/>
              <w:rPr>
                <w:sz w:val="20"/>
                <w:szCs w:val="20"/>
                <w:color w:val="auto"/>
              </w:rPr>
            </w:pPr>
            <w:r>
              <w:rPr>
                <w:rFonts w:ascii="Arial" w:cs="Arial" w:eastAsia="Arial" w:hAnsi="Arial"/>
                <w:sz w:val="18"/>
                <w:szCs w:val="18"/>
                <w:color w:val="0000FF"/>
              </w:rPr>
              <w:t>40</w:t>
            </w:r>
          </w:p>
        </w:tc>
        <w:tc>
          <w:tcPr>
            <w:tcW w:w="40" w:type="dxa"/>
            <w:vAlign w:val="bottom"/>
          </w:tcPr>
          <w:p>
            <w:pPr>
              <w:spacing w:after="0"/>
              <w:rPr>
                <w:sz w:val="24"/>
                <w:szCs w:val="24"/>
                <w:color w:val="auto"/>
              </w:rPr>
            </w:pPr>
          </w:p>
        </w:tc>
      </w:tr>
      <w:tr>
        <w:trPr>
          <w:trHeight w:val="885"/>
        </w:trPr>
        <w:tc>
          <w:tcPr>
            <w:tcW w:w="10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80" w:type="dxa"/>
            <w:vAlign w:val="bottom"/>
          </w:tcPr>
          <w:p>
            <w:pPr>
              <w:jc w:val="right"/>
              <w:ind w:right="5270"/>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5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data)</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May 31, 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November 30, 2022</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256,277</w:t>
            </w:r>
          </w:p>
        </w:tc>
        <w:tc>
          <w:tcPr>
            <w:tcW w:w="0" w:type="dxa"/>
            <w:vAlign w:val="bottom"/>
          </w:tcPr>
          <w:p>
            <w:pPr>
              <w:spacing w:after="0"/>
              <w:rPr>
                <w:sz w:val="1"/>
                <w:szCs w:val="1"/>
                <w:color w:val="auto"/>
              </w:rPr>
            </w:pPr>
          </w:p>
        </w:tc>
      </w:tr>
      <w:tr>
        <w:trPr>
          <w:trHeight w:val="229"/>
        </w:trPr>
        <w:tc>
          <w:tcPr>
            <w:tcW w:w="7340" w:type="dxa"/>
            <w:vAlign w:val="bottom"/>
          </w:tcPr>
          <w:p>
            <w:pPr>
              <w:ind w:left="360"/>
              <w:spacing w:after="0"/>
              <w:rPr>
                <w:sz w:val="20"/>
                <w:szCs w:val="20"/>
                <w:color w:val="auto"/>
              </w:rPr>
            </w:pPr>
            <w:r>
              <w:rPr>
                <w:rFonts w:ascii="Arial" w:cs="Arial" w:eastAsia="Arial" w:hAnsi="Arial"/>
                <w:sz w:val="18"/>
                <w:szCs w:val="18"/>
                <w:color w:val="auto"/>
              </w:rPr>
              <w:t>Accounts receivable (less allowances of $701 and $859, respectively)</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97,834</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29,158</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42,784</w:t>
            </w:r>
          </w:p>
        </w:tc>
        <w:tc>
          <w:tcPr>
            <w:tcW w:w="0" w:type="dxa"/>
            <w:vAlign w:val="bottom"/>
          </w:tcPr>
          <w:p>
            <w:pPr>
              <w:spacing w:after="0"/>
              <w:rPr>
                <w:sz w:val="1"/>
                <w:szCs w:val="1"/>
                <w:color w:val="auto"/>
              </w:rPr>
            </w:pPr>
          </w:p>
        </w:tc>
      </w:tr>
      <w:tr>
        <w:trPr>
          <w:trHeight w:val="229"/>
        </w:trPr>
        <w:tc>
          <w:tcPr>
            <w:tcW w:w="7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426,053</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Long-term unbilled receivables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38,727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39,936</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404,515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217,355</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671,037</w:t>
            </w:r>
          </w:p>
        </w:tc>
        <w:tc>
          <w:tcPr>
            <w:tcW w:w="0" w:type="dxa"/>
            <w:vAlign w:val="bottom"/>
          </w:tcPr>
          <w:p>
            <w:pPr>
              <w:spacing w:after="0"/>
              <w:rPr>
                <w:sz w:val="1"/>
                <w:szCs w:val="1"/>
                <w:color w:val="auto"/>
              </w:rPr>
            </w:pPr>
          </w:p>
        </w:tc>
      </w:tr>
      <w:tr>
        <w:trPr>
          <w:trHeight w:val="237"/>
        </w:trPr>
        <w:tc>
          <w:tcPr>
            <w:tcW w:w="7340" w:type="dxa"/>
            <w:vAlign w:val="bottom"/>
          </w:tcPr>
          <w:p>
            <w:pPr>
              <w:ind w:left="20"/>
              <w:spacing w:after="0"/>
              <w:rPr>
                <w:sz w:val="20"/>
                <w:szCs w:val="20"/>
                <w:color w:val="auto"/>
              </w:rPr>
            </w:pPr>
            <w:r>
              <w:rPr>
                <w:rFonts w:ascii="Arial" w:cs="Arial" w:eastAsia="Arial" w:hAnsi="Arial"/>
                <w:sz w:val="18"/>
                <w:szCs w:val="18"/>
                <w:color w:val="auto"/>
              </w:rPr>
              <w:t>Right-of-use lease assets</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23,396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17,574</w:t>
            </w: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12,832</w:t>
            </w:r>
          </w:p>
        </w:tc>
        <w:tc>
          <w:tcPr>
            <w:tcW w:w="0" w:type="dxa"/>
            <w:vAlign w:val="bottom"/>
          </w:tcPr>
          <w:p>
            <w:pPr>
              <w:spacing w:after="0"/>
              <w:rPr>
                <w:sz w:val="1"/>
                <w:szCs w:val="1"/>
                <w:color w:val="auto"/>
              </w:rPr>
            </w:pPr>
          </w:p>
        </w:tc>
      </w:tr>
      <w:tr>
        <w:trPr>
          <w:trHeight w:val="250"/>
        </w:trPr>
        <w:tc>
          <w:tcPr>
            <w:tcW w:w="7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1,411,479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360"/>
              <w:spacing w:after="0"/>
              <w:rPr>
                <w:sz w:val="20"/>
                <w:szCs w:val="20"/>
                <w:color w:val="auto"/>
              </w:rPr>
            </w:pPr>
            <w:r>
              <w:rPr>
                <w:rFonts w:ascii="Arial" w:cs="Arial" w:eastAsia="Arial" w:hAnsi="Arial"/>
                <w:sz w:val="18"/>
                <w:szCs w:val="18"/>
                <w:color w:val="auto"/>
              </w:rPr>
              <w:t>Current portion of long-term debt,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9,671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30"/>
        </w:trPr>
        <w:tc>
          <w:tcPr>
            <w:tcW w:w="7340" w:type="dxa"/>
            <w:vAlign w:val="bottom"/>
          </w:tcPr>
          <w:p>
            <w:pPr>
              <w:ind w:left="360"/>
              <w:spacing w:after="0"/>
              <w:rPr>
                <w:sz w:val="20"/>
                <w:szCs w:val="20"/>
                <w:color w:val="auto"/>
              </w:rPr>
            </w:pPr>
            <w:r>
              <w:rPr>
                <w:rFonts w:ascii="Arial" w:cs="Arial" w:eastAsia="Arial" w:hAnsi="Arial"/>
                <w:sz w:val="18"/>
                <w:szCs w:val="18"/>
                <w:color w:val="auto"/>
              </w:rPr>
              <w:t>Accrued compensation and related taxes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34,258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42,467</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payable to stockholders</w:t>
            </w: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30"/>
        </w:trPr>
        <w:tc>
          <w:tcPr>
            <w:tcW w:w="7340" w:type="dxa"/>
            <w:vAlign w:val="bottom"/>
          </w:tcPr>
          <w:p>
            <w:pPr>
              <w:ind w:left="360"/>
              <w:spacing w:after="0"/>
              <w:rPr>
                <w:sz w:val="20"/>
                <w:szCs w:val="20"/>
                <w:color w:val="auto"/>
              </w:rPr>
            </w:pPr>
            <w:r>
              <w:rPr>
                <w:rFonts w:ascii="Arial" w:cs="Arial" w:eastAsia="Arial" w:hAnsi="Arial"/>
                <w:sz w:val="18"/>
                <w:szCs w:val="18"/>
                <w:color w:val="auto"/>
              </w:rPr>
              <w:t>Short-term operating lease liabilities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Short-term deferred revenue, net</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227,607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227,670</w:t>
            </w:r>
          </w:p>
        </w:tc>
        <w:tc>
          <w:tcPr>
            <w:tcW w:w="0" w:type="dxa"/>
            <w:vAlign w:val="bottom"/>
          </w:tcPr>
          <w:p>
            <w:pPr>
              <w:spacing w:after="0"/>
              <w:rPr>
                <w:sz w:val="1"/>
                <w:szCs w:val="1"/>
                <w:color w:val="auto"/>
              </w:rPr>
            </w:pPr>
          </w:p>
        </w:tc>
      </w:tr>
      <w:tr>
        <w:trPr>
          <w:trHeight w:val="229"/>
        </w:trPr>
        <w:tc>
          <w:tcPr>
            <w:tcW w:w="7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318,004</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422,666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259,220</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net</w:t>
            </w: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353,696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352,625</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15,041</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54,770</w:t>
            </w:r>
          </w:p>
        </w:tc>
        <w:tc>
          <w:tcPr>
            <w:tcW w:w="0" w:type="dxa"/>
            <w:vAlign w:val="bottom"/>
          </w:tcPr>
          <w:p>
            <w:pPr>
              <w:spacing w:after="0"/>
              <w:rPr>
                <w:sz w:val="1"/>
                <w:szCs w:val="1"/>
                <w:color w:val="auto"/>
              </w:rPr>
            </w:pPr>
          </w:p>
        </w:tc>
      </w:tr>
      <w:tr>
        <w:trPr>
          <w:trHeight w:val="237"/>
        </w:trPr>
        <w:tc>
          <w:tcPr>
            <w:tcW w:w="73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360"/>
              <w:spacing w:after="0"/>
              <w:rPr>
                <w:sz w:val="20"/>
                <w:szCs w:val="20"/>
                <w:color w:val="auto"/>
              </w:rPr>
            </w:pPr>
            <w:r>
              <w:rPr>
                <w:rFonts w:ascii="Arial" w:cs="Arial" w:eastAsia="Arial" w:hAnsi="Arial"/>
                <w:sz w:val="18"/>
                <w:szCs w:val="18"/>
                <w:color w:val="auto"/>
              </w:rPr>
              <w:t>Preferred stock, $0.01 par value; authorized, 10,000,000 shares; issued, none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3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Common stock, $0.01 par value; authorized, 200,000,000 shares; issued and outstanding,</w:t>
            </w:r>
          </w:p>
        </w:tc>
        <w:tc>
          <w:tcPr>
            <w:tcW w:w="2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43,357,557 shares in 2023 and 43,257,008 shares in 2022</w:t>
            </w:r>
          </w:p>
        </w:tc>
        <w:tc>
          <w:tcPr>
            <w:tcW w:w="2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347,101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331,650</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101,656</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(35,235)</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398,504</w:t>
            </w:r>
          </w:p>
        </w:tc>
        <w:tc>
          <w:tcPr>
            <w:tcW w:w="0" w:type="dxa"/>
            <w:vAlign w:val="bottom"/>
          </w:tcPr>
          <w:p>
            <w:pPr>
              <w:spacing w:after="0"/>
              <w:rPr>
                <w:sz w:val="1"/>
                <w:szCs w:val="1"/>
                <w:color w:val="auto"/>
              </w:rPr>
            </w:pPr>
          </w:p>
        </w:tc>
      </w:tr>
      <w:tr>
        <w:trPr>
          <w:trHeight w:val="223"/>
        </w:trPr>
        <w:tc>
          <w:tcPr>
            <w:tcW w:w="734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1,601,885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1,411,479</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1"/>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May 31, 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May 31, 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May 31, 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May 31, 2022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Software licenses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56,407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44,814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113,975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87,564</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Maintenance and services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206,105</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178,251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148,747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342,477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293,669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60"/>
              <w:spacing w:after="0"/>
              <w:rPr>
                <w:sz w:val="20"/>
                <w:szCs w:val="20"/>
                <w:color w:val="auto"/>
              </w:rPr>
            </w:pPr>
            <w:r>
              <w:rPr>
                <w:rFonts w:ascii="Arial" w:cs="Arial" w:eastAsia="Arial" w:hAnsi="Arial"/>
                <w:sz w:val="18"/>
                <w:szCs w:val="18"/>
                <w:color w:val="auto"/>
              </w:rPr>
              <w:t>Cost of software licenses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maintenance and services</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30,946</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Amortization of acquired intangibles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costs of revenue</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23,957</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246,500</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66,173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57,316</w:t>
            </w:r>
          </w:p>
        </w:tc>
        <w:tc>
          <w:tcPr>
            <w:tcW w:w="0" w:type="dxa"/>
            <w:vAlign w:val="bottom"/>
          </w:tcPr>
          <w:p>
            <w:pPr>
              <w:spacing w:after="0"/>
              <w:rPr>
                <w:sz w:val="1"/>
                <w:szCs w:val="1"/>
                <w:color w:val="auto"/>
              </w:rPr>
            </w:pPr>
          </w:p>
        </w:tc>
      </w:tr>
      <w:tr>
        <w:trPr>
          <w:trHeight w:val="237"/>
        </w:trPr>
        <w:tc>
          <w:tcPr>
            <w:tcW w:w="54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36,198</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intangibles</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23,614</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Cyber incident and vulnerability response expenses, net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expenses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Acquisition-related expenses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on sale of assets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121,446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223,867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176,833</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69,667</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37"/>
        </w:trPr>
        <w:tc>
          <w:tcPr>
            <w:tcW w:w="5400" w:type="dxa"/>
            <w:vAlign w:val="bottom"/>
          </w:tcPr>
          <w:p>
            <w:pPr>
              <w:ind w:left="360"/>
              <w:spacing w:after="0"/>
              <w:rPr>
                <w:sz w:val="20"/>
                <w:szCs w:val="20"/>
                <w:color w:val="auto"/>
              </w:rPr>
            </w:pPr>
            <w:r>
              <w:rPr>
                <w:rFonts w:ascii="Arial" w:cs="Arial" w:eastAsia="Arial" w:hAnsi="Arial"/>
                <w:sz w:val="18"/>
                <w:szCs w:val="18"/>
                <w:color w:val="auto"/>
              </w:rPr>
              <w:t>Interest income and other, net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5400" w:type="dxa"/>
            <w:vAlign w:val="bottom"/>
          </w:tcPr>
          <w:p>
            <w:pPr>
              <w:ind w:left="112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13,233</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5400" w:type="dxa"/>
            <w:vAlign w:val="bottom"/>
          </w:tcPr>
          <w:p>
            <w:pPr>
              <w:ind w:left="4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4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43,778</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44,480</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0.350</w:t>
            </w:r>
          </w:p>
        </w:tc>
        <w:tc>
          <w:tcPr>
            <w:tcW w:w="0" w:type="dxa"/>
            <w:vAlign w:val="bottom"/>
          </w:tcPr>
          <w:p>
            <w:pPr>
              <w:spacing w:after="0"/>
              <w:rPr>
                <w:sz w:val="1"/>
                <w:szCs w:val="1"/>
                <w:color w:val="auto"/>
              </w:rPr>
            </w:pPr>
          </w:p>
        </w:tc>
      </w:tr>
      <w:tr>
        <w:trPr>
          <w:trHeight w:val="378"/>
        </w:trPr>
        <w:tc>
          <w:tcPr>
            <w:tcW w:w="5400" w:type="dxa"/>
            <w:vAlign w:val="bottom"/>
          </w:tcPr>
          <w:p>
            <w:pPr>
              <w:spacing w:after="0"/>
              <w:rPr>
                <w:sz w:val="20"/>
                <w:szCs w:val="20"/>
                <w:color w:val="auto"/>
              </w:rPr>
            </w:pPr>
            <w:r>
              <w:rPr>
                <w:rFonts w:ascii="Arial" w:cs="Arial" w:eastAsia="Arial" w:hAnsi="Arial"/>
                <w:sz w:val="18"/>
                <w:szCs w:val="18"/>
                <w:color w:val="auto"/>
                <w:w w:val="97"/>
              </w:rPr>
              <w:t>See notes to unaudited condensed consolidated financial statements.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6"/>
              </w:rPr>
              <w:t>Three Months Ended</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3"/>
              </w:rPr>
              <w:t>May 31, 2023</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May 31, 2022</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May 31, 2023</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3"/>
              </w:rPr>
              <w:t>May 31, 2022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220" w:type="dxa"/>
            <w:vAlign w:val="bottom"/>
          </w:tcPr>
          <w:p>
            <w:pPr>
              <w:ind w:left="200"/>
              <w:spacing w:after="0" w:line="176" w:lineRule="exact"/>
              <w:rPr>
                <w:sz w:val="20"/>
                <w:szCs w:val="20"/>
                <w:color w:val="auto"/>
              </w:rPr>
            </w:pPr>
            <w:r>
              <w:rPr>
                <w:rFonts w:ascii="Arial" w:cs="Arial" w:eastAsia="Arial" w:hAnsi="Arial"/>
                <w:sz w:val="18"/>
                <w:szCs w:val="18"/>
                <w:color w:val="auto"/>
                <w:w w:val="96"/>
              </w:rPr>
              <w:t>Unrealized gain on hedging activity, net of tax benefit of $250 and $295 for the</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220" w:type="dxa"/>
            <w:vAlign w:val="bottom"/>
          </w:tcPr>
          <w:p>
            <w:pPr>
              <w:ind w:left="200"/>
              <w:spacing w:after="0" w:line="176" w:lineRule="exact"/>
              <w:rPr>
                <w:sz w:val="20"/>
                <w:szCs w:val="20"/>
                <w:color w:val="auto"/>
              </w:rPr>
            </w:pPr>
            <w:r>
              <w:rPr>
                <w:rFonts w:ascii="Arial" w:cs="Arial" w:eastAsia="Arial" w:hAnsi="Arial"/>
                <w:sz w:val="18"/>
                <w:szCs w:val="18"/>
                <w:color w:val="auto"/>
                <w:w w:val="93"/>
              </w:rPr>
              <w:t>second quarter and first six months of 2023, respectively and net of tax provision</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6220" w:type="dxa"/>
            <w:vAlign w:val="bottom"/>
          </w:tcPr>
          <w:p>
            <w:pPr>
              <w:ind w:left="200"/>
              <w:spacing w:after="0" w:line="189" w:lineRule="exact"/>
              <w:rPr>
                <w:sz w:val="20"/>
                <w:szCs w:val="20"/>
                <w:color w:val="auto"/>
              </w:rPr>
            </w:pPr>
            <w:r>
              <w:rPr>
                <w:rFonts w:ascii="Arial" w:cs="Arial" w:eastAsia="Arial" w:hAnsi="Arial"/>
                <w:sz w:val="18"/>
                <w:szCs w:val="18"/>
                <w:color w:val="auto"/>
              </w:rPr>
              <w:t>of $643 and $1,165 for the second quarter and first six months of 2022,</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Unrealized loss on investments, net of tax benefit of $4 and $0 for the second</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62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1"/>
              </w:rPr>
              <w:t>quarter and first six months of 2023, respectively and net of a tax benefit of $1 and</w:t>
            </w: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$4 for the second quarter and first six months of 2022, respectively</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62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comprehensive income, net of tax</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91" w:right="5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680" w:type="dxa"/>
            <w:vAlign w:val="bottom"/>
            <w:gridSpan w:val="2"/>
          </w:tcPr>
          <w:p>
            <w:pPr>
              <w:ind w:left="660"/>
              <w:spacing w:after="0"/>
              <w:rPr>
                <w:sz w:val="20"/>
                <w:szCs w:val="20"/>
                <w:color w:val="auto"/>
              </w:rPr>
            </w:pPr>
            <w:r>
              <w:rPr>
                <w:rFonts w:ascii="Arial" w:cs="Arial" w:eastAsia="Arial" w:hAnsi="Arial"/>
                <w:sz w:val="18"/>
                <w:szCs w:val="18"/>
                <w:b w:val="1"/>
                <w:bCs w:val="1"/>
                <w:color w:val="auto"/>
                <w:w w:val="95"/>
              </w:rPr>
              <w:t>Condensed Consolidated Statements of Stockholders’ Equity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8"/>
                <w:szCs w:val="18"/>
                <w:color w:val="auto"/>
                <w:w w:val="92"/>
              </w:rPr>
              <w:t>Six Months Ended May 31, 2023</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060" w:type="dxa"/>
            <w:vAlign w:val="bottom"/>
            <w:gridSpan w:val="4"/>
            <w:vMerge w:val="restart"/>
          </w:tcPr>
          <w:p>
            <w:pPr>
              <w:jc w:val="right"/>
              <w:ind w:right="37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center"/>
              <w:ind w:right="250"/>
              <w:spacing w:after="0" w:line="156" w:lineRule="exact"/>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1"/>
              </w:rPr>
              <w:t>Paid-In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0"/>
              <w:spacing w:after="0" w:line="169" w:lineRule="exact"/>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4"/>
                <w:szCs w:val="14"/>
                <w:color w:val="auto"/>
              </w:rPr>
            </w:pPr>
          </w:p>
        </w:tc>
        <w:tc>
          <w:tcPr>
            <w:tcW w:w="11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4"/>
                <w:szCs w:val="14"/>
                <w:color w:val="auto"/>
              </w:rPr>
            </w:pPr>
          </w:p>
        </w:tc>
        <w:tc>
          <w:tcPr>
            <w:tcW w:w="1060" w:type="dxa"/>
            <w:vAlign w:val="bottom"/>
            <w:gridSpan w:val="2"/>
          </w:tcPr>
          <w:p>
            <w:pPr>
              <w:ind w:left="40"/>
              <w:spacing w:after="0" w:line="169" w:lineRule="exact"/>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Balance, December 1, 2022</w:t>
            </w:r>
          </w:p>
        </w:tc>
        <w:tc>
          <w:tcPr>
            <w:tcW w:w="980" w:type="dxa"/>
            <w:vAlign w:val="bottom"/>
          </w:tcPr>
          <w:p>
            <w:pPr>
              <w:jc w:val="right"/>
              <w:spacing w:after="0"/>
              <w:rPr>
                <w:sz w:val="20"/>
                <w:szCs w:val="20"/>
                <w:color w:val="auto"/>
              </w:rPr>
            </w:pPr>
            <w:r>
              <w:rPr>
                <w:rFonts w:ascii="Arial" w:cs="Arial" w:eastAsia="Arial" w:hAnsi="Arial"/>
                <w:sz w:val="18"/>
                <w:szCs w:val="18"/>
                <w:color w:val="auto"/>
              </w:rPr>
              <w:t>43,257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331,650</w:t>
            </w:r>
          </w:p>
        </w:tc>
        <w:tc>
          <w:tcPr>
            <w:tcW w:w="8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101,656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(35,235)</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398,504</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Issuance of stock under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188"/>
        </w:trPr>
        <w:tc>
          <w:tcPr>
            <w:tcW w:w="47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8"/>
              </w:rPr>
              <w:t>Vesting of restricted stock units and release of deferred</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w w:val="93"/>
              </w:rPr>
              <w:t>Withholding tax payments related to net issuance of RSUs</w:t>
            </w: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0" w:type="dxa"/>
            <w:vAlign w:val="bottom"/>
          </w:tcPr>
          <w:p>
            <w:pPr>
              <w:spacing w:after="0"/>
              <w:rPr>
                <w:sz w:val="1"/>
                <w:szCs w:val="1"/>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Dividends declared</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(15,948)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repurchases and retirements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35,764</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Balance, May 31, 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(32,717)</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418,815</w:t>
            </w:r>
          </w:p>
        </w:tc>
        <w:tc>
          <w:tcPr>
            <w:tcW w:w="0" w:type="dxa"/>
            <w:vAlign w:val="bottom"/>
          </w:tcPr>
          <w:p>
            <w:pPr>
              <w:spacing w:after="0"/>
              <w:rPr>
                <w:sz w:val="1"/>
                <w:szCs w:val="1"/>
                <w:color w:val="auto"/>
              </w:rPr>
            </w:pPr>
          </w:p>
        </w:tc>
      </w:tr>
      <w:tr>
        <w:trPr>
          <w:trHeight w:val="770"/>
        </w:trPr>
        <w:tc>
          <w:tcPr>
            <w:tcW w:w="47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0"/>
          </w:tcPr>
          <w:p>
            <w:pPr>
              <w:jc w:val="center"/>
              <w:ind w:left="610"/>
              <w:spacing w:after="0"/>
              <w:rPr>
                <w:sz w:val="20"/>
                <w:szCs w:val="20"/>
                <w:color w:val="auto"/>
              </w:rPr>
            </w:pPr>
            <w:r>
              <w:rPr>
                <w:rFonts w:ascii="Arial" w:cs="Arial" w:eastAsia="Arial" w:hAnsi="Arial"/>
                <w:sz w:val="18"/>
                <w:szCs w:val="18"/>
                <w:color w:val="auto"/>
                <w:w w:val="90"/>
              </w:rPr>
              <w:t>Three Months Ended May 31, 2023</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2060" w:type="dxa"/>
            <w:vAlign w:val="bottom"/>
            <w:gridSpan w:val="4"/>
            <w:vMerge w:val="restart"/>
          </w:tcPr>
          <w:p>
            <w:pPr>
              <w:jc w:val="right"/>
              <w:ind w:right="37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spacing w:after="0" w:line="156" w:lineRule="exact"/>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center"/>
              <w:ind w:right="250"/>
              <w:spacing w:after="0" w:line="156" w:lineRule="exact"/>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90"/>
              <w:spacing w:after="0" w:line="15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1"/>
              </w:rPr>
              <w:t>Paid-In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50"/>
              <w:spacing w:after="0" w:line="182" w:lineRule="exact"/>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5"/>
                <w:szCs w:val="15"/>
                <w:color w:val="auto"/>
              </w:rPr>
            </w:pPr>
          </w:p>
        </w:tc>
        <w:tc>
          <w:tcPr>
            <w:tcW w:w="116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5"/>
                <w:szCs w:val="15"/>
                <w:color w:val="auto"/>
              </w:rPr>
            </w:pPr>
          </w:p>
        </w:tc>
        <w:tc>
          <w:tcPr>
            <w:tcW w:w="1060" w:type="dxa"/>
            <w:vAlign w:val="bottom"/>
            <w:gridSpan w:val="2"/>
          </w:tcPr>
          <w:p>
            <w:pPr>
              <w:ind w:left="40"/>
              <w:spacing w:after="0" w:line="182" w:lineRule="exact"/>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Amount</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Balance, March 1, 2023</w:t>
            </w:r>
          </w:p>
        </w:tc>
        <w:tc>
          <w:tcPr>
            <w:tcW w:w="980" w:type="dxa"/>
            <w:vAlign w:val="bottom"/>
          </w:tcPr>
          <w:p>
            <w:pPr>
              <w:jc w:val="right"/>
              <w:spacing w:after="0"/>
              <w:rPr>
                <w:sz w:val="20"/>
                <w:szCs w:val="20"/>
                <w:color w:val="auto"/>
              </w:rPr>
            </w:pPr>
            <w:r>
              <w:rPr>
                <w:rFonts w:ascii="Arial" w:cs="Arial" w:eastAsia="Arial" w:hAnsi="Arial"/>
                <w:sz w:val="18"/>
                <w:szCs w:val="18"/>
                <w:color w:val="auto"/>
              </w:rPr>
              <w:t>43,307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338,370</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108,286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(33,646)</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413,443</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Issuance of stock under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Vesting of restricted stock units and release of deferred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units</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w w:val="93"/>
              </w:rPr>
              <w:t>Withholding tax payments related to net issuance of RSUs</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Dividends declared</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repurchases and retirements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12,090</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Balance, May 31, 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347,101</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103,995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(32,717)</w:t>
            </w:r>
          </w:p>
        </w:tc>
        <w:tc>
          <w:tcPr>
            <w:tcW w:w="8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9"/>
          </w:tcPr>
          <w:p>
            <w:pPr>
              <w:jc w:val="center"/>
              <w:ind w:right="10"/>
              <w:spacing w:after="0"/>
              <w:rPr>
                <w:sz w:val="20"/>
                <w:szCs w:val="20"/>
                <w:color w:val="auto"/>
              </w:rPr>
            </w:pPr>
            <w:r>
              <w:rPr>
                <w:rFonts w:ascii="Arial" w:cs="Arial" w:eastAsia="Arial" w:hAnsi="Arial"/>
                <w:sz w:val="18"/>
                <w:szCs w:val="18"/>
                <w:color w:val="auto"/>
                <w:w w:val="91"/>
              </w:rPr>
              <w:t>Six Months Ended May 31, 2022</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060" w:type="dxa"/>
            <w:vAlign w:val="bottom"/>
            <w:gridSpan w:val="4"/>
            <w:vMerge w:val="restart"/>
          </w:tcPr>
          <w:p>
            <w:pPr>
              <w:jc w:val="right"/>
              <w:ind w:right="37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center"/>
              <w:ind w:right="250"/>
              <w:spacing w:after="0" w:line="156" w:lineRule="exact"/>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4"/>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88"/>
              </w:rPr>
              <w:t>Retained</w:t>
            </w:r>
          </w:p>
        </w:tc>
        <w:tc>
          <w:tcPr>
            <w:tcW w:w="80" w:type="dxa"/>
            <w:vAlign w:val="bottom"/>
          </w:tcPr>
          <w:p>
            <w:pPr>
              <w:spacing w:after="0"/>
              <w:rPr>
                <w:sz w:val="14"/>
                <w:szCs w:val="14"/>
                <w:color w:val="auto"/>
              </w:rPr>
            </w:pPr>
          </w:p>
        </w:tc>
        <w:tc>
          <w:tcPr>
            <w:tcW w:w="11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4"/>
                <w:szCs w:val="14"/>
                <w:color w:val="auto"/>
              </w:rPr>
            </w:pPr>
          </w:p>
        </w:tc>
        <w:tc>
          <w:tcPr>
            <w:tcW w:w="1060" w:type="dxa"/>
            <w:vAlign w:val="bottom"/>
            <w:gridSpan w:val="2"/>
          </w:tcPr>
          <w:p>
            <w:pPr>
              <w:ind w:left="40"/>
              <w:spacing w:after="0" w:line="169" w:lineRule="exact"/>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Earnings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Balance, December 1, 2021</w:t>
            </w:r>
          </w:p>
        </w:tc>
        <w:tc>
          <w:tcPr>
            <w:tcW w:w="1000" w:type="dxa"/>
            <w:vAlign w:val="bottom"/>
          </w:tcPr>
          <w:p>
            <w:pPr>
              <w:jc w:val="right"/>
              <w:spacing w:after="0"/>
              <w:rPr>
                <w:sz w:val="20"/>
                <w:szCs w:val="20"/>
                <w:color w:val="auto"/>
              </w:rPr>
            </w:pPr>
            <w:r>
              <w:rPr>
                <w:rFonts w:ascii="Arial" w:cs="Arial" w:eastAsia="Arial" w:hAnsi="Arial"/>
                <w:sz w:val="18"/>
                <w:szCs w:val="18"/>
                <w:color w:val="auto"/>
              </w:rPr>
              <w:t>44,146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354,235</w:t>
            </w:r>
          </w:p>
        </w:tc>
        <w:tc>
          <w:tcPr>
            <w:tcW w:w="10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90,256</w:t>
            </w: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(32,443)</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412,489</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effect of adoption of ASU 2020-06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(42,563)</w:t>
            </w:r>
          </w:p>
        </w:tc>
        <w:tc>
          <w:tcPr>
            <w:tcW w:w="0" w:type="dxa"/>
            <w:vAlign w:val="bottom"/>
          </w:tcPr>
          <w:p>
            <w:pPr>
              <w:spacing w:after="0"/>
              <w:rPr>
                <w:sz w:val="1"/>
                <w:szCs w:val="1"/>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w w:val="98"/>
              </w:rPr>
              <w:t>Issuance of stock under employee stock purchase plan</w:t>
            </w: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175"/>
        </w:trPr>
        <w:tc>
          <w:tcPr>
            <w:tcW w:w="4700" w:type="dxa"/>
            <w:vAlign w:val="bottom"/>
          </w:tcPr>
          <w:p>
            <w:pPr>
              <w:ind w:left="360"/>
              <w:spacing w:after="0" w:line="176" w:lineRule="exact"/>
              <w:rPr>
                <w:sz w:val="20"/>
                <w:szCs w:val="20"/>
                <w:color w:val="auto"/>
              </w:rPr>
            </w:pPr>
            <w:r>
              <w:rPr>
                <w:rFonts w:ascii="Arial" w:cs="Arial" w:eastAsia="Arial" w:hAnsi="Arial"/>
                <w:sz w:val="18"/>
                <w:szCs w:val="18"/>
                <w:color w:val="auto"/>
                <w:w w:val="98"/>
              </w:rPr>
              <w:t>Vesting of restricted stock units and release of deferred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stock units</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Withholding tax payments related to net issuance of RSUs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rPr>
              <w:t>Treasury stock repurchases and retirements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(51,473)</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May 31,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43,454</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309,913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93,885</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(32,087)</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372,146</w:t>
            </w:r>
          </w:p>
        </w:tc>
        <w:tc>
          <w:tcPr>
            <w:tcW w:w="0" w:type="dxa"/>
            <w:vAlign w:val="bottom"/>
          </w:tcPr>
          <w:p>
            <w:pPr>
              <w:spacing w:after="0"/>
              <w:rPr>
                <w:sz w:val="1"/>
                <w:szCs w:val="1"/>
                <w:color w:val="auto"/>
              </w:rPr>
            </w:pPr>
          </w:p>
        </w:tc>
      </w:tr>
      <w:tr>
        <w:trPr>
          <w:trHeight w:val="763"/>
        </w:trPr>
        <w:tc>
          <w:tcPr>
            <w:tcW w:w="47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0"/>
          </w:tcPr>
          <w:p>
            <w:pPr>
              <w:jc w:val="center"/>
              <w:ind w:left="610"/>
              <w:spacing w:after="0"/>
              <w:rPr>
                <w:sz w:val="20"/>
                <w:szCs w:val="20"/>
                <w:color w:val="auto"/>
              </w:rPr>
            </w:pPr>
            <w:r>
              <w:rPr>
                <w:rFonts w:ascii="Arial" w:cs="Arial" w:eastAsia="Arial" w:hAnsi="Arial"/>
                <w:sz w:val="18"/>
                <w:szCs w:val="18"/>
                <w:color w:val="auto"/>
                <w:w w:val="90"/>
              </w:rPr>
              <w:t>Three Months Ended May 31, 2022</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060" w:type="dxa"/>
            <w:vAlign w:val="bottom"/>
            <w:gridSpan w:val="4"/>
            <w:vMerge w:val="restart"/>
          </w:tcPr>
          <w:p>
            <w:pPr>
              <w:jc w:val="right"/>
              <w:ind w:right="37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center"/>
              <w:ind w:right="250"/>
              <w:spacing w:after="0" w:line="156" w:lineRule="exact"/>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4"/>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88"/>
              </w:rPr>
              <w:t>Retained</w:t>
            </w:r>
          </w:p>
        </w:tc>
        <w:tc>
          <w:tcPr>
            <w:tcW w:w="80" w:type="dxa"/>
            <w:vAlign w:val="bottom"/>
          </w:tcPr>
          <w:p>
            <w:pPr>
              <w:spacing w:after="0"/>
              <w:rPr>
                <w:sz w:val="14"/>
                <w:szCs w:val="14"/>
                <w:color w:val="auto"/>
              </w:rPr>
            </w:pPr>
          </w:p>
        </w:tc>
        <w:tc>
          <w:tcPr>
            <w:tcW w:w="11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4"/>
                <w:szCs w:val="14"/>
                <w:color w:val="auto"/>
              </w:rPr>
            </w:pPr>
          </w:p>
        </w:tc>
        <w:tc>
          <w:tcPr>
            <w:tcW w:w="1060" w:type="dxa"/>
            <w:vAlign w:val="bottom"/>
            <w:gridSpan w:val="2"/>
          </w:tcPr>
          <w:p>
            <w:pPr>
              <w:ind w:left="40"/>
              <w:spacing w:after="0" w:line="169" w:lineRule="exact"/>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Earnings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Balance, March 1, 2022</w:t>
            </w:r>
          </w:p>
        </w:tc>
        <w:tc>
          <w:tcPr>
            <w:tcW w:w="1000" w:type="dxa"/>
            <w:vAlign w:val="bottom"/>
          </w:tcPr>
          <w:p>
            <w:pPr>
              <w:jc w:val="right"/>
              <w:spacing w:after="0"/>
              <w:rPr>
                <w:sz w:val="20"/>
                <w:szCs w:val="20"/>
                <w:color w:val="auto"/>
              </w:rPr>
            </w:pPr>
            <w:r>
              <w:rPr>
                <w:rFonts w:ascii="Arial" w:cs="Arial" w:eastAsia="Arial" w:hAnsi="Arial"/>
                <w:sz w:val="18"/>
                <w:szCs w:val="18"/>
                <w:color w:val="auto"/>
              </w:rPr>
              <w:t>43,766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303,240</w:t>
            </w:r>
          </w:p>
        </w:tc>
        <w:tc>
          <w:tcPr>
            <w:tcW w:w="10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93,661</w:t>
            </w: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(29,016)</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368,323</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Issuance of stock under employee stock purchase plan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Vesting of restricted stock units and release of deferred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units</w:t>
            </w: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w w:val="93"/>
              </w:rPr>
              <w:t>Withholding tax payments related to net issuance of RSUs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rPr>
              <w:t>Dividends declared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repurchases and retirements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(26,473)</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29,110</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Balance, May 31, 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(32,087)</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May 31, 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May 31, 2022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35,764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680"/>
              <w:spacing w:after="0"/>
              <w:rPr>
                <w:sz w:val="20"/>
                <w:szCs w:val="20"/>
                <w:color w:val="auto"/>
              </w:rPr>
            </w:pPr>
            <w:r>
              <w:rPr>
                <w:rFonts w:ascii="Arial" w:cs="Arial" w:eastAsia="Arial" w:hAnsi="Arial"/>
                <w:sz w:val="18"/>
                <w:szCs w:val="18"/>
                <w:color w:val="auto"/>
              </w:rPr>
              <w:t>Depreciation and amortization of property and equipment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acquired intangibles and other</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35,111</w:t>
            </w:r>
          </w:p>
        </w:tc>
        <w:tc>
          <w:tcPr>
            <w:tcW w:w="0" w:type="dxa"/>
            <w:vAlign w:val="bottom"/>
          </w:tcPr>
          <w:p>
            <w:pPr>
              <w:spacing w:after="0"/>
              <w:rPr>
                <w:sz w:val="1"/>
                <w:szCs w:val="1"/>
                <w:color w:val="auto"/>
              </w:rPr>
            </w:pPr>
          </w:p>
        </w:tc>
      </w:tr>
      <w:tr>
        <w:trPr>
          <w:trHeight w:val="230"/>
        </w:trPr>
        <w:tc>
          <w:tcPr>
            <w:tcW w:w="8180" w:type="dxa"/>
            <w:vAlign w:val="bottom"/>
          </w:tcPr>
          <w:p>
            <w:pPr>
              <w:ind w:left="680"/>
              <w:spacing w:after="0"/>
              <w:rPr>
                <w:sz w:val="20"/>
                <w:szCs w:val="20"/>
                <w:color w:val="auto"/>
              </w:rPr>
            </w:pPr>
            <w:r>
              <w:rPr>
                <w:rFonts w:ascii="Arial" w:cs="Arial" w:eastAsia="Arial" w:hAnsi="Arial"/>
                <w:sz w:val="18"/>
                <w:szCs w:val="18"/>
                <w:color w:val="auto"/>
              </w:rPr>
              <w:t>Amortization of debt discount and issuance costs on Notes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Non-cash lease expense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disposal of long-lived assets,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Gain on sale of assets held for sale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(10,770)</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Allowances for bad debt and sales credits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19,894</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29"/>
        </w:trPr>
        <w:tc>
          <w:tcPr>
            <w:tcW w:w="818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0" w:type="dxa"/>
            <w:vAlign w:val="bottom"/>
          </w:tcPr>
          <w:p>
            <w:pPr>
              <w:spacing w:after="0"/>
              <w:rPr>
                <w:sz w:val="1"/>
                <w:szCs w:val="1"/>
                <w:color w:val="auto"/>
              </w:rPr>
            </w:pPr>
          </w:p>
        </w:tc>
      </w:tr>
      <w:tr>
        <w:trPr>
          <w:trHeight w:val="229"/>
        </w:trPr>
        <w:tc>
          <w:tcPr>
            <w:tcW w:w="8180" w:type="dxa"/>
            <w:vAlign w:val="bottom"/>
          </w:tcPr>
          <w:p>
            <w:pPr>
              <w:ind w:left="112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Deferred revenue, net</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 cash flows from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112,353</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Cash flows (used in) from investing activities: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Arial" w:cs="Arial" w:eastAsia="Arial" w:hAnsi="Arial"/>
                <w:sz w:val="18"/>
                <w:szCs w:val="18"/>
                <w:color w:val="auto"/>
              </w:rPr>
              <w:t>Sales and maturities of investments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Payments for acquisitions, net of cash acquired</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(356,096)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long-lived assets, net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25,998</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flows (used in) from investing activities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(used in) financing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stock-based compensation plans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taxes related to net share settlements of equity awards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(51,473)</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payments to stockholders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the issuance of debt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revolving line of credit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Principal payment on term loan</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flows from (used in) financing activities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128,956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(62,598)</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(130,746)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69,457</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155,406</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224,863</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558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 continued</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May 31, 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May 31, 2022</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Cash paid for income taxes, net of refunds of $841 in 2023 and $364 in 2022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5,953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1"/>
              </w:rPr>
              <w:t>Total fair value of restricted stock awards, restricted stock units and deferred stock units on date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23,077</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18,204</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vested</w:t>
            </w:r>
          </w:p>
        </w:tc>
        <w:tc>
          <w:tcPr>
            <w:tcW w:w="240" w:type="dxa"/>
            <w:vAlign w:val="bottom"/>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360" w:type="dxa"/>
            <w:vAlign w:val="bottom"/>
            <w:gridSpan w:val="2"/>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60"/>
              <w:spacing w:after="0"/>
              <w:rPr>
                <w:sz w:val="20"/>
                <w:szCs w:val="20"/>
                <w:color w:val="auto"/>
              </w:rPr>
            </w:pPr>
            <w:r>
              <w:rPr>
                <w:rFonts w:ascii="Arial" w:cs="Arial" w:eastAsia="Arial" w:hAnsi="Arial"/>
                <w:sz w:val="18"/>
                <w:szCs w:val="18"/>
                <w:color w:val="auto"/>
              </w:rPr>
              <w:t>Dividends declared and unpaid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8,192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color w:val="auto"/>
        </w:rPr>
        <w:t xml:space="preserve">Company Overview </w:t>
      </w:r>
      <w:r>
        <w:rPr>
          <w:rFonts w:ascii="Arial" w:cs="Arial" w:eastAsia="Arial" w:hAnsi="Arial"/>
          <w:sz w:val="18"/>
          <w:szCs w:val="18"/>
          <w:color w:val="auto"/>
        </w:rPr>
        <w:t>- Progress Software Corporation ("Progress," the "Company," "we," "us," or "our") is dedicated to propelling business forward in a</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technology-driven world. Progress helps customers drive faster cycles of innovation, fuel momentum and accelerate their path to success. As the trusted provider of products to develop, deploy and manage high-impact applications, Progress enables customers to develop the applications and experiences they need, deploy where and how they want and manage it all safely and securely.</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products are generally sold as perpetual licenses, but certain products also use term licensing models and our cloud-based offerings use a subscription-based model. More than half of our worldwide license revenue is realized through relationships with indirect channel partners, principally independent software vendors ("ISVs"), original equipment manufacturers ("OEMs"), distributors and value-added resellers. ISVs develop and market applications using our technology and resell our products in conjunction with sales of their own products that incorporate our technology. OEMs are companies that embed our products into their own software products or devices. Value-added resellers are companies that add features or services to our product, then resell it as an integrated product or complete "turn-key" solution.</w:t>
      </w:r>
    </w:p>
    <w:p>
      <w:pPr>
        <w:spacing w:after="0" w:line="21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operate in North America, Latin America, Europe, the Middle East and Africa ("EMEA"), and Asia and Australia ("Asia Pacific"), through local subsidiaries as well as independent distributors.</w:t>
      </w:r>
    </w:p>
    <w:p>
      <w:pPr>
        <w:spacing w:after="0" w:line="19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color w:val="auto"/>
        </w:rPr>
        <w:t>- We prepared the accompanying unaudited condensed consolidated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rules and regulations of the Securities and Exchange Commission ("SEC") regarding interim financial reporting. Accordingly, the financial statements do not include all of the information and footnotes required by accounting principles generally accepted in the United States of America ("GAAP") for complete financial statements and these unaudited financial statements should be read in conjunction with the audited financial statements included in our Annual Report on Form 10-K for the fiscal year ended November 30, 2022, as filed with the SEC on January 27, 2023 (our "2022 Annual Report").</w:t>
      </w:r>
    </w:p>
    <w:p>
      <w:pPr>
        <w:spacing w:after="0" w:line="2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made no material changes in the application of our significant accounting policies that were disclosed in our 2022 Annual Report. We have prepared the accompanying unaudited condensed consolidated financial statements on the same basis as the audited financial statements included in our 2022 Annual Report, and these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amounts reported in the financial statements and accompanying notes. On an on-going basis, management evaluates its estimates and records changes in estimates in the period in which they become known. These estimates are based on historical data and experience, as well as various other assumptions that management believes to be reasonable under the circumstances. The most significant estimates relate to revenue recognition and business combinations.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March 2020, the FASB issued Accounting Standards Update No. 2020-04, </w:t>
      </w:r>
      <w:r>
        <w:rPr>
          <w:rFonts w:ascii="Arial" w:cs="Arial" w:eastAsia="Arial" w:hAnsi="Arial"/>
          <w:sz w:val="17"/>
          <w:szCs w:val="17"/>
          <w:i w:val="1"/>
          <w:iCs w:val="1"/>
          <w:color w:val="auto"/>
        </w:rPr>
        <w:t>Reference Rate Reform (Topic 848): Facilitation of the Effects of Reference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Rate Reform on Financial Reporting </w:t>
      </w:r>
      <w:r>
        <w:rPr>
          <w:rFonts w:ascii="Arial" w:cs="Arial" w:eastAsia="Arial" w:hAnsi="Arial"/>
          <w:sz w:val="17"/>
          <w:szCs w:val="17"/>
          <w:color w:val="auto"/>
        </w:rPr>
        <w:t>("ASU 2020-04"), as amended in December 2022 by Accounting Standards Update No. 2022-06,</w:t>
      </w:r>
      <w:r>
        <w:rPr>
          <w:rFonts w:ascii="Arial" w:cs="Arial" w:eastAsia="Arial" w:hAnsi="Arial"/>
          <w:sz w:val="17"/>
          <w:szCs w:val="17"/>
          <w:i w:val="1"/>
          <w:iCs w:val="1"/>
          <w:color w:val="auto"/>
        </w:rPr>
        <w:t xml:space="preserve"> Reference Rate Reform (Topic 848): Deferral of the Sunset Date of Topic 848 </w:t>
      </w:r>
      <w:r>
        <w:rPr>
          <w:rFonts w:ascii="Arial" w:cs="Arial" w:eastAsia="Arial" w:hAnsi="Arial"/>
          <w:sz w:val="17"/>
          <w:szCs w:val="17"/>
          <w:color w:val="auto"/>
        </w:rPr>
        <w:t>("ASU 2022-06"). ASU 2020-04 provides guidance to alleviate the burden in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rate reform by allowing certain expedients and exceptions in applying GAAP to contracts, hedging relationships and other transactions impacted by reference rate reform. The provisions apply only to those transactions that reference the London Interbank Offered Rate ("LIBOR") or another reference rate expected to be discontinued due to reference rate reform. The Company adopted ASU 2020-04 in June 2023, in connection with the amendment of its interest rate swap agreement to implement certain changes in the reference rate from LIBOR to the Secured Overnight Financing Rate ("SOFR"). The application of this expedient preserves the cash flow hedge designation of the interest rate swaps and presentation consistent with past presentation and did not have a material impact on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and cash equivalents at May 31, 2023 is as follows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w w:val="92"/>
              </w:rPr>
              <w:t>Amortized Cost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5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Basis</w:t>
            </w:r>
          </w:p>
        </w:tc>
        <w:tc>
          <w:tcPr>
            <w:tcW w:w="120" w:type="dxa"/>
            <w:vAlign w:val="bottom"/>
          </w:tcPr>
          <w:p>
            <w:pPr>
              <w:spacing w:after="0"/>
              <w:rPr>
                <w:sz w:val="20"/>
                <w:szCs w:val="20"/>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7"/>
              </w:rPr>
              <w:t>Unrealized Gains</w:t>
            </w: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Unrealized Losses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Fair Value</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125,422</w:t>
            </w:r>
          </w:p>
        </w:tc>
        <w:tc>
          <w:tcPr>
            <w:tcW w:w="7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125,422</w:t>
            </w:r>
          </w:p>
        </w:tc>
      </w:tr>
      <w:tr>
        <w:trPr>
          <w:trHeight w:val="23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5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and cash equivalents at November 30, 2022 is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w w:val="92"/>
              </w:rPr>
              <w:t>Amortized Cost</w:t>
            </w:r>
          </w:p>
        </w:tc>
        <w:tc>
          <w:tcPr>
            <w:tcW w:w="120" w:type="dxa"/>
            <w:vAlign w:val="bottom"/>
          </w:tcPr>
          <w:p>
            <w:pPr>
              <w:spacing w:after="0"/>
              <w:rPr>
                <w:sz w:val="18"/>
                <w:szCs w:val="18"/>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8"/>
                <w:szCs w:val="18"/>
                <w:color w:val="auto"/>
                <w:w w:val="97"/>
              </w:rPr>
              <w:t>Unrealized Gains</w:t>
            </w:r>
          </w:p>
        </w:tc>
        <w:tc>
          <w:tcPr>
            <w:tcW w:w="100" w:type="dxa"/>
            <w:vAlign w:val="bottom"/>
          </w:tcPr>
          <w:p>
            <w:pPr>
              <w:spacing w:after="0"/>
              <w:rPr>
                <w:sz w:val="18"/>
                <w:szCs w:val="18"/>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Unrealized Losses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restart"/>
          </w:tcPr>
          <w:p>
            <w:pPr>
              <w:jc w:val="right"/>
              <w:ind w:right="25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Basis</w:t>
            </w:r>
          </w:p>
        </w:tc>
        <w:tc>
          <w:tcPr>
            <w:tcW w:w="120" w:type="dxa"/>
            <w:vAlign w:val="bottom"/>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229,023</w:t>
            </w:r>
          </w:p>
        </w:tc>
        <w:tc>
          <w:tcPr>
            <w:tcW w:w="7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debt securities by contractual maturity due after one year as of May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Derivative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9, 2019, we entered into an interest rate swap contract with an initial notional amount of $150.0 million to manage the variability of cash flows associated with approximately one-half of our variable rate debt. The contract matures on April 30, 2024 and requires periodic interest rate settlements. Under this interest rate swap contract, we receive a floating rate based on the greater of 1-month LIBOR or 0.00%, and pay a fixed rate of 1.855% on the outstanding notional amount. In June 2023, the interest rate swap agreement was amended to implement certain changes in the reference rate from LIBOR to SOFR.</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designated the interest rate swap as a cash flow hedge and assess the hedge effectiveness both at the onset of the hedge and at regular intervals throughout the life of the derivative. To the extent that the interest rate swap is highly effective in offsetting the variability of the hedged cash flows, changes in the fair value of the derivative are included as a component of other comprehensive loss on our condensed consolidated balance sheets. Although we have determined at the onset of the hedge that the interest rate swap will be a highly effective hedge throughout the term of the contract, any portion of the fair value swap subsequently determined to be ineffective will be recognized in earnings. As of May 31, 2023, the fair value of the hedge was a gain of $3.2 million, which was included in other current assets on our condensed consolidated balance sheets. The net amount of accumulated other comprehensive loss reclassified to interest expense during the six months ended May 31, 2023 and May 31, 2022 was a decrease of $1.6 million and an increase of $1.0 million, respectively.</w:t>
      </w:r>
    </w:p>
    <w:p>
      <w:pPr>
        <w:spacing w:after="0" w:line="2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following table presents our interest rate swap contract where the notional amount reflects the quarterly amortization of the interest rate swap, which is equal to approximately one-half of the corresponding reduction in the balance of our term loan as we make scheduled principal payments. The fair value of the derivative represents the discounted value of the expected future discounted cash flows for the interest rate swap, based on the amortization schedule and the current forward curve for the remaining term of the contract, as of the date of each reporting period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color w:val="auto"/>
              </w:rPr>
              <w:t>May 31, 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color w:val="auto"/>
              </w:rPr>
              <w:t>November 30, 2022</w:t>
            </w:r>
          </w:p>
        </w:tc>
      </w:tr>
      <w:tr>
        <w:trPr>
          <w:trHeight w:val="223"/>
        </w:trPr>
        <w:tc>
          <w:tcPr>
            <w:tcW w:w="4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Notional Value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Notional Value</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3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Interest rate swap contracts designated as cash flow hedges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120,000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Contracts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generally use forward contracts that are not designated as hedging instruments to hedge economically the impact of the variability in exchange rates on intercompany accounts receivable and loans receivable denominated in certain foreign currencies. We generally do not hedge the net assets of our international subsidiaries.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forward contracts are recorded at fair value on the consolidated balance sheets at the end of each reporting period and generally expire between 30 days and 2 years from the date the contract was entered. At May 31, 2023, $2.9 million was recorded in other accrued liabilities on our condensed consolidated balance sheets. At November 30, 2022, $3.1 million and $0.1 million were recorded in other noncurrent liabilities and other current assets, respectively, on our condensed consolidated balance sheets.</w:t>
      </w:r>
    </w:p>
    <w:p>
      <w:pPr>
        <w:spacing w:after="0" w:line="21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the three and six months ended May 31, 2023, realized and unrealized gains of $1.1 million and $1.6 million, respectively, from our forward contracts were recognized in foreign currency loss, net, on our condensed consolidated statements of operations. In the three and six months ended May 31, 2022, realized and unrealized losses of $3.9 million and $3.6 million, respectively, from our forward contracts were recognized in foreign currency loss, net, on our condensed consolidated statements of operations. These gains and losses were substantially offset by realized and unrealized gains and losses in the offsetting positions.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720"/>
        <w:spacing w:after="0" w:line="277" w:lineRule="auto"/>
        <w:rPr>
          <w:sz w:val="20"/>
          <w:szCs w:val="20"/>
          <w:color w:val="auto"/>
        </w:rPr>
      </w:pPr>
      <w:r>
        <w:rPr>
          <w:rFonts w:ascii="Arial" w:cs="Arial" w:eastAsia="Arial" w:hAnsi="Arial"/>
          <w:sz w:val="18"/>
          <w:szCs w:val="18"/>
          <w:color w:val="auto"/>
        </w:rPr>
        <w:t>The table below details outstanding foreign currency forward contracts where the notional amount is determined using contract exchange rates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color w:val="auto"/>
              </w:rPr>
              <w:t>May 31, 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November 30, 2022</w:t>
            </w:r>
          </w:p>
        </w:tc>
      </w:tr>
      <w:tr>
        <w:trPr>
          <w:trHeight w:val="230"/>
        </w:trPr>
        <w:tc>
          <w:tcPr>
            <w:tcW w:w="48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Notional Value</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Notional Value</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contracts to sell U.S. 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Forward contracts to purchase U.S. dollars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fair value measurements within the fair value hierarchy of our financial assets and liabilities at May 31, 2023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Fair Value Measurements Using</w:t>
            </w:r>
          </w:p>
        </w:tc>
        <w:tc>
          <w:tcPr>
            <w:tcW w:w="1040" w:type="dxa"/>
            <w:vAlign w:val="bottom"/>
            <w:tcBorders>
              <w:bottom w:val="single" w:sz="8" w:color="auto"/>
            </w:tcBorders>
          </w:tcPr>
          <w:p>
            <w:pPr>
              <w:spacing w:after="0"/>
              <w:rPr>
                <w:sz w:val="20"/>
                <w:szCs w:val="20"/>
                <w:color w:val="auto"/>
              </w:rPr>
            </w:pPr>
          </w:p>
        </w:tc>
      </w:t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Total Fair Value</w:t>
            </w:r>
          </w:p>
        </w:tc>
        <w:tc>
          <w:tcPr>
            <w:tcW w:w="2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Level 3</w:t>
            </w: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our financial assets and liabilities at November 30, 2022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Fair Value Measurements Using</w:t>
            </w:r>
          </w:p>
        </w:tc>
        <w:tc>
          <w:tcPr>
            <w:tcW w:w="1040" w:type="dxa"/>
            <w:vAlign w:val="bottom"/>
            <w:tcBorders>
              <w:bottom w:val="single" w:sz="8" w:color="auto"/>
            </w:tcBorders>
          </w:tcPr>
          <w:p>
            <w:pPr>
              <w:spacing w:after="0"/>
              <w:rPr>
                <w:sz w:val="20"/>
                <w:szCs w:val="20"/>
                <w:color w:val="auto"/>
              </w:rPr>
            </w:pPr>
          </w:p>
        </w:tc>
      </w:t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Total Fair Value</w:t>
            </w:r>
          </w:p>
        </w:tc>
        <w:tc>
          <w:tcPr>
            <w:tcW w:w="2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Level 3</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27,254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27,254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When developing fair value estimates, we maximize the use of observable inputs and minimize the use of unobservable inputs. When available, we use quoted market prices to measure fair value. The valuation technique used to measure fair value for our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Carried at Fair Value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the Convertible Senior Notes</w:t>
      </w:r>
    </w:p>
    <w:p>
      <w:pPr>
        <w:spacing w:after="0" w:line="25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fair value of our Convertible Senior Notes, with a carrying value of $353.7 million and $352.6 million, was $404.1 million and $376.0 million as of May 31, 2023 and November 30, 2022, respectively. The fair value was determined based on the quoted price in an over-the-counter market on the last trading day of the reporting period and classified within Level 1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Fair Value of Other Long-term Debt</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 of the borrowing outstanding detail in Note 7 approximates the carrying value of the debt due to variable rates that are applicable and no significant change in our credit ratings.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Assets and Liabilities</w:t>
      </w:r>
    </w:p>
    <w:p>
      <w:pPr>
        <w:spacing w:after="0" w:line="239" w:lineRule="exact"/>
        <w:rPr>
          <w:sz w:val="20"/>
          <w:szCs w:val="20"/>
          <w:color w:val="auto"/>
        </w:rPr>
      </w:pPr>
    </w:p>
    <w:p>
      <w:pPr>
        <w:ind w:right="360"/>
        <w:spacing w:after="0" w:line="324" w:lineRule="auto"/>
        <w:rPr>
          <w:sz w:val="20"/>
          <w:szCs w:val="20"/>
          <w:color w:val="auto"/>
        </w:rPr>
      </w:pPr>
      <w:r>
        <w:rPr>
          <w:rFonts w:ascii="Arial" w:cs="Arial" w:eastAsia="Arial" w:hAnsi="Arial"/>
          <w:sz w:val="16"/>
          <w:szCs w:val="16"/>
          <w:color w:val="auto"/>
        </w:rPr>
        <w:t>The carrying amounts of other financial assets and liabilities including cash, accounts receivable, accounts payable, and accrued liabilities approximate their respective fair values because of the relatively short period of time between their origination and their expected realization or settlement.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 and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comprised of the following significant classes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May 31, 2023</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1"/>
              </w:rPr>
              <w:t>November 30, 2022</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60" w:type="dxa"/>
            <w:vAlign w:val="bottom"/>
          </w:tcPr>
          <w:p>
            <w:pPr>
              <w:spacing w:after="0"/>
              <w:rPr>
                <w:sz w:val="14"/>
                <w:szCs w:val="14"/>
                <w:color w:val="auto"/>
              </w:rPr>
            </w:pPr>
          </w:p>
        </w:tc>
        <w:tc>
          <w:tcPr>
            <w:tcW w:w="1320" w:type="dxa"/>
            <w:vAlign w:val="bottom"/>
            <w:gridSpan w:val="2"/>
          </w:tcPr>
          <w:p>
            <w:pPr>
              <w:jc w:val="right"/>
              <w:ind w:right="30"/>
              <w:spacing w:after="0" w:line="169" w:lineRule="exact"/>
              <w:rPr>
                <w:sz w:val="20"/>
                <w:szCs w:val="20"/>
                <w:color w:val="auto"/>
              </w:rPr>
            </w:pPr>
            <w:r>
              <w:rPr>
                <w:rFonts w:ascii="Arial" w:cs="Arial" w:eastAsia="Arial" w:hAnsi="Arial"/>
                <w:sz w:val="18"/>
                <w:szCs w:val="18"/>
                <w:color w:val="auto"/>
                <w:w w:val="97"/>
              </w:rPr>
              <w:t>Gross 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10"/>
              <w:spacing w:after="0" w:line="169" w:lineRule="exact"/>
              <w:rPr>
                <w:sz w:val="20"/>
                <w:szCs w:val="20"/>
                <w:color w:val="auto"/>
              </w:rPr>
            </w:pPr>
            <w:r>
              <w:rPr>
                <w:rFonts w:ascii="Arial" w:cs="Arial" w:eastAsia="Arial" w:hAnsi="Arial"/>
                <w:sz w:val="18"/>
                <w:szCs w:val="18"/>
                <w:color w:val="auto"/>
                <w:w w:val="94"/>
              </w:rPr>
              <w:t>Accumulated</w:t>
            </w:r>
          </w:p>
        </w:tc>
        <w:tc>
          <w:tcPr>
            <w:tcW w:w="1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Net Book Value</w:t>
            </w:r>
          </w:p>
        </w:tc>
        <w:tc>
          <w:tcPr>
            <w:tcW w:w="120" w:type="dxa"/>
            <w:vAlign w:val="bottom"/>
          </w:tcPr>
          <w:p>
            <w:pPr>
              <w:spacing w:after="0"/>
              <w:rPr>
                <w:sz w:val="14"/>
                <w:szCs w:val="14"/>
                <w:color w:val="auto"/>
              </w:rPr>
            </w:pPr>
          </w:p>
        </w:tc>
        <w:tc>
          <w:tcPr>
            <w:tcW w:w="1300" w:type="dxa"/>
            <w:vAlign w:val="bottom"/>
            <w:gridSpan w:val="2"/>
          </w:tcPr>
          <w:p>
            <w:pPr>
              <w:jc w:val="right"/>
              <w:ind w:right="10"/>
              <w:spacing w:after="0" w:line="169" w:lineRule="exact"/>
              <w:rPr>
                <w:sz w:val="20"/>
                <w:szCs w:val="20"/>
                <w:color w:val="auto"/>
              </w:rPr>
            </w:pPr>
            <w:r>
              <w:rPr>
                <w:rFonts w:ascii="Arial" w:cs="Arial" w:eastAsia="Arial" w:hAnsi="Arial"/>
                <w:sz w:val="18"/>
                <w:szCs w:val="18"/>
                <w:color w:val="auto"/>
                <w:w w:val="97"/>
              </w:rPr>
              <w:t>Gross 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line="169" w:lineRule="exact"/>
              <w:rPr>
                <w:sz w:val="20"/>
                <w:szCs w:val="20"/>
                <w:color w:val="auto"/>
              </w:rPr>
            </w:pPr>
            <w:r>
              <w:rPr>
                <w:rFonts w:ascii="Arial" w:cs="Arial" w:eastAsia="Arial" w:hAnsi="Arial"/>
                <w:sz w:val="18"/>
                <w:szCs w:val="18"/>
                <w:color w:val="auto"/>
                <w:w w:val="92"/>
              </w:rPr>
              <w:t>Accumulated</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Net Book Value</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7"/>
              </w:rPr>
              <w:t>Amortization</w:t>
            </w:r>
          </w:p>
        </w:tc>
        <w:tc>
          <w:tcPr>
            <w:tcW w:w="1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(165,135)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(150,877)</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61,823</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Customer-related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457,608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(189,183)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306,308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(162,341)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143,967</w:t>
            </w: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Non-compete agreement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(383,204)</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404,515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(341,264)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217,355</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In the three and six months ended May 31, 2023, amortization expense related to intangible assets was $25.5 million and $45.4 million, respectively. In the three and six months ended May 31, 2022, amortization expense related to intangible assets was $17.5 million and $34.6 million,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Future amortization expense for intangible assets as of May 31, 2023, is as follows (in thousands):</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50,970</w:t>
            </w:r>
          </w:p>
        </w:tc>
        <w:tc>
          <w:tcPr>
            <w:tcW w:w="0" w:type="dxa"/>
            <w:vAlign w:val="bottom"/>
          </w:tcPr>
          <w:p>
            <w:pPr>
              <w:spacing w:after="0"/>
              <w:rPr>
                <w:sz w:val="1"/>
                <w:szCs w:val="1"/>
                <w:color w:val="auto"/>
              </w:rPr>
            </w:pPr>
          </w:p>
        </w:tc>
      </w:tr>
      <w:tr>
        <w:trPr>
          <w:trHeight w:val="237"/>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88,934</w:t>
            </w:r>
          </w:p>
        </w:tc>
        <w:tc>
          <w:tcPr>
            <w:tcW w:w="0" w:type="dxa"/>
            <w:vAlign w:val="bottom"/>
          </w:tcPr>
          <w:p>
            <w:pPr>
              <w:spacing w:after="0"/>
              <w:rPr>
                <w:sz w:val="1"/>
                <w:szCs w:val="1"/>
                <w:color w:val="auto"/>
              </w:rPr>
            </w:pPr>
          </w:p>
        </w:tc>
      </w:tr>
      <w:tr>
        <w:trPr>
          <w:trHeight w:val="23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78,424</w:t>
            </w:r>
          </w:p>
        </w:tc>
        <w:tc>
          <w:tcPr>
            <w:tcW w:w="0" w:type="dxa"/>
            <w:vAlign w:val="bottom"/>
          </w:tcPr>
          <w:p>
            <w:pPr>
              <w:spacing w:after="0"/>
              <w:rPr>
                <w:sz w:val="1"/>
                <w:szCs w:val="1"/>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69,453</w:t>
            </w:r>
          </w:p>
        </w:tc>
        <w:tc>
          <w:tcPr>
            <w:tcW w:w="0" w:type="dxa"/>
            <w:vAlign w:val="bottom"/>
          </w:tcPr>
          <w:p>
            <w:pPr>
              <w:spacing w:after="0"/>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44,598</w:t>
            </w:r>
          </w:p>
        </w:tc>
        <w:tc>
          <w:tcPr>
            <w:tcW w:w="0" w:type="dxa"/>
            <w:vAlign w:val="bottom"/>
          </w:tcPr>
          <w:p>
            <w:pPr>
              <w:spacing w:after="0"/>
              <w:rPr>
                <w:sz w:val="1"/>
                <w:szCs w:val="1"/>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72,136</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404,515</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Goodwill</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6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00" w:type="dxa"/>
            <w:vAlign w:val="bottom"/>
          </w:tcPr>
          <w:p>
            <w:pPr>
              <w:spacing w:after="0"/>
              <w:rPr>
                <w:sz w:val="20"/>
                <w:szCs w:val="20"/>
                <w:color w:val="auto"/>
              </w:rPr>
            </w:pPr>
            <w:r>
              <w:rPr>
                <w:rFonts w:ascii="Arial" w:cs="Arial" w:eastAsia="Arial" w:hAnsi="Arial"/>
                <w:sz w:val="18"/>
                <w:szCs w:val="18"/>
                <w:color w:val="auto"/>
              </w:rPr>
              <w:t>Changes in the carrying amount of goodwill in the six months ended May 31, 2023 are as follows (in thousands):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November 30, 2022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671,037</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line="243"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(1)</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154,899</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Balance, May 31, 2023</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825,944</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The additions to goodwill during fiscal year 2023 are related to the acquisition of MarkLogic in February 2023. See Note 6: Business Combinations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MarkLogic Acquisition</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February 7, 2023, we completed the acquisition of the parent company of MarkLogic Corporation ("MarkLogic"), pursuant to the Stock Purchase Agreement (the "Purchase Agreement"), dated as of January 3, 2023. The acquisition was completed for a base purchase price of $355.0 million (subject to certain customary adjustments) in cash.</w:t>
      </w:r>
    </w:p>
    <w:p>
      <w:pPr>
        <w:spacing w:after="0" w:line="21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acquisition consideration for MarkLogic has been preliminarily allocated to MarkLogic’s assets and assumed liabilities based on estimated fair values. The preliminary fair value estimates of the net assets acquired are based upon preliminary calculations and valuations, and those estimates and assumptions are subject to change as we obtain additional information for those estimates during the measurement period (up to one year from the acquisition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w w:val="94"/>
              </w:rPr>
              <w:t>The allocation of the purchase price is as follows (in thousands):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86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w w:val="93"/>
              </w:rPr>
              <w:t>Initial Purchase Price</w:t>
            </w:r>
          </w:p>
        </w:tc>
        <w:tc>
          <w:tcPr>
            <w:tcW w:w="10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4"/>
              </w:rPr>
              <w:t>Measurement Period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w w:val="88"/>
              </w:rPr>
              <w:t>Adjusted Purchase</w:t>
            </w:r>
          </w:p>
        </w:tc>
        <w:tc>
          <w:tcPr>
            <w:tcW w:w="1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Allocation</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Price Allocation</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years</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7 years</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years</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Other assets, including long-term unbilled receivables</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(33,116)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140,964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389,354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the intangible assets was estimated using the income approach in which the after-tax cash flows are discounted to present value. The cash flows are based on estimates used to value the acquisition, and the discount rates applied were benchmarked with reference to the implied rate of return from the transaction model as well as the weighted average cost of capital. The valuation assumptions take into consideration our estimates of customer attrition, technology obsolescence, and revenue growth projections.</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determined the acquisition date deferred revenue balance based on our assessment of the individual contracts acquired. A significant portion of the deferred revenue is expected to be recognized in the 12 months following the acquisition.</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recorded the excess of the purchase price over the identified tangible and intangible assets as goodwill. We believe that the investment value of the future enhancement of our product and solution offerings created as a result of this acquisition has principally contributed to a purchase price that resulted in the recognition of $154.9 million of goodwill, which is not deductible for tax purposes.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Acquisition-related transaction costs (e.g., legal, due diligence, valuation, and other professional fees) and certain acquisition restructuring and related charges are not included as a component of consideration transferred but are required to be expensed as incurred. During the three and six months ended May 31, 2023, we incurred approximately $2.1 million and $3.5 million, respectively, of acquisition-related costs, which are included in acquisition-related expenses on our consolidated statement of operations.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amount of revenue of MarkLogic included in our consolidated statement of operations during the three and six months ended May 31, 2023, was approximately $25.3 million and $30.3 million, respectively. We determined that disclosing the amount of MarkLogic related earnings included in the consolidated statement of operations is impracticable, as certain operations of MarkLogic were integrated into the operations of the Company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Pro Forma Information</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pro forma financial information presents the combined results of operations of Progress and MarkLogic as if the acquisition had occurred on December 1, 2021, after giving effect to certain pro forma adjustments. The pro forma adjustments reflected herein include only those adjustments that are directly attributable to the MarkLogic acquisition and factually supportable. These pro forma adjustments include: (i) a net increase in amortization expense to record amortization expense relating to the $231.1 million of acquired identifiable intangible assets, (ii) an increase in interest expense to record interest for the period presented as a result of drawing down our revolving line of credit in connection with the acquisition, and (iii) the income tax effect of the adjustments made at the statutory tax rate of the U.S. (approximately 24.5%).</w:t>
      </w:r>
    </w:p>
    <w:p>
      <w:pPr>
        <w:spacing w:after="0" w:line="2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pro forma financial information does not reflect any adjustments for anticipated expense savings resulting from the acquisition and is not necessarily indicative of the operating results that would have actually occurred had the transaction been consummated on December 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2"/>
          </w:tcPr>
          <w:p>
            <w:pPr>
              <w:jc w:val="center"/>
              <w:spacing w:after="0"/>
              <w:rPr>
                <w:sz w:val="20"/>
                <w:szCs w:val="20"/>
                <w:color w:val="auto"/>
              </w:rPr>
            </w:pPr>
            <w:r>
              <w:rPr>
                <w:rFonts w:ascii="Arial" w:cs="Arial" w:eastAsia="Arial" w:hAnsi="Arial"/>
                <w:sz w:val="18"/>
                <w:szCs w:val="18"/>
                <w:color w:val="auto"/>
                <w:w w:val="91"/>
              </w:rPr>
              <w:t>Pro Forma Three Months Ended May 31,</w:t>
            </w:r>
          </w:p>
        </w:tc>
      </w:tr>
      <w:tr>
        <w:trPr>
          <w:trHeight w:val="237"/>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4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2022</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171,111</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21,580</w:t>
            </w: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14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539"/>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Pro Forma Six Months Ended May 31,</w:t>
            </w:r>
          </w:p>
        </w:tc>
        <w:tc>
          <w:tcPr>
            <w:tcW w:w="120" w:type="dxa"/>
            <w:vAlign w:val="bottom"/>
          </w:tcPr>
          <w:p>
            <w:pPr>
              <w:spacing w:after="0"/>
              <w:rPr>
                <w:sz w:val="24"/>
                <w:szCs w:val="24"/>
                <w:color w:val="auto"/>
              </w:rPr>
            </w:pPr>
          </w:p>
        </w:tc>
        <w:tc>
          <w:tcPr>
            <w:tcW w:w="2940" w:type="dxa"/>
            <w:vAlign w:val="bottom"/>
          </w:tcPr>
          <w:p>
            <w:pPr>
              <w:jc w:val="center"/>
              <w:ind w:right="50"/>
              <w:spacing w:after="0"/>
              <w:rPr>
                <w:sz w:val="20"/>
                <w:szCs w:val="20"/>
                <w:color w:val="auto"/>
              </w:rPr>
            </w:pPr>
            <w:r>
              <w:rPr>
                <w:rFonts w:ascii="Arial" w:cs="Arial" w:eastAsia="Arial" w:hAnsi="Arial"/>
                <w:sz w:val="18"/>
                <w:szCs w:val="18"/>
                <w:color w:val="auto"/>
                <w:w w:val="91"/>
              </w:rPr>
              <w:t>Pro Forma Six Months Ended May 31,</w:t>
            </w:r>
          </w:p>
        </w:tc>
      </w:tr>
      <w:tr>
        <w:trPr>
          <w:trHeight w:val="22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2022</w:t>
            </w:r>
          </w:p>
        </w:tc>
      </w:tr>
      <w:tr>
        <w:trPr>
          <w:trHeight w:val="23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381,327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336,933</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44,996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32,375</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0.73</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May 31, 2023, future maturities of the Company's long-term debt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Revolving Line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2026 Notes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Credit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Term Loan</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13,750</w:t>
            </w: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380,625</w:t>
            </w: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376,250</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face value of long-term debt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794,688</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w:t>
            </w:r>
          </w:p>
        </w:tc>
      </w:tr>
      <w:tr>
        <w:trPr>
          <w:trHeight w:val="23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 net</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(9,671)</w:t>
            </w:r>
          </w:p>
        </w:tc>
      </w:tr>
      <w:tr>
        <w:trPr>
          <w:trHeight w:val="25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776,362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revolving line of credit has a term that ends on January 25, 2027, at which time all amounts outstanding must be repaid. During February 2023, we partially funded our acquisition of MarkLogic by drawing down $195.0 million under the revolving line of credit. As of May 31, 2023, there was $170.0 million outstanding under the revolving line of credit.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Common Stock Repurchases</w:t>
      </w:r>
    </w:p>
    <w:p>
      <w:pPr>
        <w:spacing w:after="0" w:line="2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January 2023, our Board of Directors increased the share repurchase authorization by $150.0 million, to an aggregate authorization of $228.0 million. In the three months ended May 31, 2023 and May 31, 2022, we repurchased and retired 0.3 million shares for $15.0 million and 0.6 million shares for $26.5 million, respectively. In the six months ended May 31, 2023 and May 31, 2022, we repurchased and retired 0.5 million shares for $30.0 million and 1.1 million shares for $51.5 million, respectively. The shares were repurchased in both periods as part of our Board of Directors authorized share repurchase program. As of May 31, 2023, there was $198.0 million remaining under the current authorization.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Stock-based compensation expense reflects the fair value of stock-based awards, less the present value of expected dividends when applicable, measured at the grant date and recognized over the relevant service period. We estimate the fair value of each stock-based award on the measurement date using the current market price of the stock, the Black-Scholes option valuation model, or the Monte Carlo Simulation valuation model.</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2021, 2022 and 2023, we granted performance-based restricted stock units that include two performance metrics under our Long-Term Incentive Plan ("LTIP") where the performance measurement period is three years. Vesting of the LTIP awards on the 2021, 2022 and 2023 plans are based on the following: (i) 25% is based on our level of attainment of specified TSR targets relative to the percentage appreciation of a specified index of companies for the respective three-year periods, and (ii) 75% is based on achievement of a three-year cumulative operating income target. In order to estimate the fair value of such awards, we used a Monte Carlo Simulation valuation model for the market condition portion of the award, and used the closing price of our common stock on the date of grant for the portion related to the performance condition.</w:t>
      </w:r>
    </w:p>
    <w:p>
      <w:pPr>
        <w:spacing w:after="0" w:line="20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Black-Scholes and Monte Carlo Simulation valuation models incorporate assumptions as to stock price volatility, the expected life of options or awards, a risk-free interest rate and dividend yield. We recognize stock-based compensation expense related to options and restricted stock units on a straight-line basis over the service period of the award, which is generally four years for options and three years for restricted stock units. We recognize stock-based compensation expense related to our employee stock purchase plan using an accelerated attribution method.</w:t>
      </w:r>
    </w:p>
    <w:p>
      <w:pPr>
        <w:spacing w:after="0" w:line="19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provides the classification of stock-based compensation as reflected on our condensed consolidated statements of operations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223"/>
        </w:trPr>
        <w:tc>
          <w:tcPr>
            <w:tcW w:w="5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May 31, 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May 31, 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May 31,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May 31, 2022</w:t>
            </w: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maintenance and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2,092</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w:t>
            </w:r>
          </w:p>
        </w:tc>
      </w:tr>
      <w:tr>
        <w:trPr>
          <w:trHeight w:val="254"/>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Loss</w:t>
      </w:r>
    </w:p>
    <w:p>
      <w:pPr>
        <w:spacing w:after="0" w:line="256" w:lineRule="exact"/>
        <w:rPr>
          <w:sz w:val="20"/>
          <w:szCs w:val="20"/>
          <w:color w:val="auto"/>
        </w:rPr>
      </w:pPr>
    </w:p>
    <w:p>
      <w:pPr>
        <w:ind w:right="760"/>
        <w:spacing w:after="0" w:line="273" w:lineRule="auto"/>
        <w:rPr>
          <w:sz w:val="20"/>
          <w:szCs w:val="20"/>
          <w:color w:val="auto"/>
        </w:rPr>
      </w:pPr>
      <w:r>
        <w:rPr>
          <w:rFonts w:ascii="Arial" w:cs="Arial" w:eastAsia="Arial" w:hAnsi="Arial"/>
          <w:sz w:val="18"/>
          <w:szCs w:val="18"/>
          <w:color w:val="auto"/>
        </w:rPr>
        <w:t>The following table summarizes the changes in accumulated balances of other comprehensive loss during the six months ended May 31, 2023 (in thousands):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1, 2022</w:t>
      </w:r>
    </w:p>
    <w:p>
      <w:pPr>
        <w:spacing w:after="0" w:line="23" w:lineRule="exact"/>
        <w:rPr>
          <w:sz w:val="20"/>
          <w:szCs w:val="20"/>
          <w:color w:val="auto"/>
        </w:rPr>
      </w:pPr>
    </w:p>
    <w:p>
      <w:pPr>
        <w:ind w:left="20" w:right="180"/>
        <w:spacing w:after="0" w:line="234" w:lineRule="auto"/>
        <w:rPr>
          <w:sz w:val="20"/>
          <w:szCs w:val="20"/>
          <w:color w:val="auto"/>
        </w:rPr>
      </w:pPr>
      <w:r>
        <w:rPr>
          <w:rFonts w:ascii="Arial" w:cs="Arial" w:eastAsia="Arial" w:hAnsi="Arial"/>
          <w:sz w:val="18"/>
          <w:szCs w:val="18"/>
          <w:color w:val="auto"/>
        </w:rPr>
        <w:t>Other comprehensive income (loss) before reclassifications, net of tax</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May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60" w:type="dxa"/>
            <w:vAlign w:val="bottom"/>
          </w:tcPr>
          <w:p>
            <w:pPr>
              <w:spacing w:after="0"/>
              <w:rPr>
                <w:sz w:val="15"/>
                <w:szCs w:val="15"/>
                <w:color w:val="auto"/>
              </w:rPr>
            </w:pPr>
          </w:p>
        </w:tc>
        <w:tc>
          <w:tcPr>
            <w:tcW w:w="1540" w:type="dxa"/>
            <w:vAlign w:val="bottom"/>
          </w:tcPr>
          <w:p>
            <w:pPr>
              <w:jc w:val="center"/>
              <w:ind w:right="50"/>
              <w:spacing w:after="0" w:line="178" w:lineRule="exact"/>
              <w:rPr>
                <w:sz w:val="20"/>
                <w:szCs w:val="20"/>
                <w:color w:val="auto"/>
              </w:rPr>
            </w:pPr>
            <w:r>
              <w:rPr>
                <w:rFonts w:ascii="Arial" w:cs="Arial" w:eastAsia="Arial" w:hAnsi="Arial"/>
                <w:sz w:val="18"/>
                <w:szCs w:val="18"/>
                <w:color w:val="auto"/>
                <w:w w:val="92"/>
              </w:rPr>
              <w:t>Foreign Currency</w:t>
            </w:r>
          </w:p>
        </w:tc>
        <w:tc>
          <w:tcPr>
            <w:tcW w:w="120" w:type="dxa"/>
            <w:vAlign w:val="bottom"/>
          </w:tcPr>
          <w:p>
            <w:pPr>
              <w:spacing w:after="0"/>
              <w:rPr>
                <w:sz w:val="15"/>
                <w:szCs w:val="15"/>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Unrealized Losses 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center"/>
              <w:ind w:right="30"/>
              <w:spacing w:after="0" w:line="178" w:lineRule="exact"/>
              <w:rPr>
                <w:sz w:val="20"/>
                <w:szCs w:val="20"/>
                <w:color w:val="auto"/>
              </w:rPr>
            </w:pPr>
            <w:r>
              <w:rPr>
                <w:rFonts w:ascii="Arial" w:cs="Arial" w:eastAsia="Arial" w:hAnsi="Arial"/>
                <w:sz w:val="18"/>
                <w:szCs w:val="18"/>
                <w:color w:val="auto"/>
                <w:w w:val="91"/>
              </w:rPr>
              <w:t>Unrealized Gain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vMerge w:val="restart"/>
          </w:tcPr>
          <w:p>
            <w:pPr>
              <w:jc w:val="right"/>
              <w:ind w:right="70"/>
              <w:spacing w:after="0"/>
              <w:rPr>
                <w:sz w:val="20"/>
                <w:szCs w:val="20"/>
                <w:color w:val="auto"/>
              </w:rPr>
            </w:pPr>
            <w:r>
              <w:rPr>
                <w:rFonts w:ascii="Arial" w:cs="Arial" w:eastAsia="Arial" w:hAnsi="Arial"/>
                <w:sz w:val="18"/>
                <w:szCs w:val="18"/>
                <w:color w:val="auto"/>
                <w:w w:val="94"/>
              </w:rPr>
              <w:t>Accumulated Other</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5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Translation</w:t>
            </w:r>
          </w:p>
        </w:tc>
        <w:tc>
          <w:tcPr>
            <w:tcW w:w="1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(Losses) on Hedging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Adjustment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8"/>
              </w:rPr>
              <w:t>Investments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Comprehensive Loss</w:t>
            </w:r>
          </w:p>
        </w:tc>
        <w:tc>
          <w:tcPr>
            <w:tcW w:w="0" w:type="dxa"/>
            <w:vAlign w:val="bottom"/>
          </w:tcPr>
          <w:p>
            <w:pPr>
              <w:spacing w:after="0"/>
              <w:rPr>
                <w:sz w:val="1"/>
                <w:szCs w:val="1"/>
                <w:color w:val="auto"/>
              </w:rPr>
            </w:pP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(38,523)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ind w:left="990"/>
              <w:spacing w:after="0"/>
              <w:rPr>
                <w:sz w:val="20"/>
                <w:szCs w:val="20"/>
                <w:color w:val="auto"/>
              </w:rPr>
            </w:pPr>
            <w:r>
              <w:rPr>
                <w:rFonts w:ascii="Arial" w:cs="Arial" w:eastAsia="Arial" w:hAnsi="Arial"/>
                <w:sz w:val="18"/>
                <w:szCs w:val="18"/>
                <w:color w:val="auto"/>
                <w:w w:val="93"/>
              </w:rPr>
              <w:t>(61)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(35,235)</w:t>
            </w:r>
          </w:p>
        </w:tc>
        <w:tc>
          <w:tcPr>
            <w:tcW w:w="0" w:type="dxa"/>
            <w:vAlign w:val="bottom"/>
          </w:tcPr>
          <w:p>
            <w:pPr>
              <w:spacing w:after="0"/>
              <w:rPr>
                <w:sz w:val="1"/>
                <w:szCs w:val="1"/>
                <w:color w:val="auto"/>
              </w:rPr>
            </w:pPr>
          </w:p>
        </w:tc>
      </w:tr>
      <w:tr>
        <w:trPr>
          <w:trHeight w:val="404"/>
        </w:trPr>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3"/>
              </w:rPr>
              <w:t>(61)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(32,717)</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-599440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-179070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891" w:right="339" w:bottom="1440" w:gutter="0" w:footer="0" w:header="0"/>
          <w:type w:val="continuous"/>
        </w:sectPr>
      </w:pPr>
    </w:p>
    <w:p>
      <w:pPr>
        <w:spacing w:after="0" w:line="1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tax effect on accumulated unrealized gains (losses) on hedging activity and unrealized losses on investments was a tax provision of $0.8 million and $1.1 million as of May 31, 2023 and November 30, 2022, respectively.</w:t>
      </w: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Revenue Recognition</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revenues are derived from licensing our products, and from related services, which consist of maintenance, hosting services, and consulting and education. Information relating to revenue from external customers by revenue type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230"/>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May 31, 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May 31, 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May 31,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May 31, 2022</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Performance obligations transferred at a point in time: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 licenses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obligations transferred over time: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181,294</w:t>
            </w:r>
          </w:p>
        </w:tc>
      </w:tr>
      <w:tr>
        <w:trPr>
          <w:trHeight w:val="237"/>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24,811</w:t>
            </w:r>
          </w:p>
        </w:tc>
      </w:tr>
      <w:tr>
        <w:trPr>
          <w:trHeight w:val="254"/>
        </w:trPr>
        <w:tc>
          <w:tcPr>
            <w:tcW w:w="5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293,669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Revenue</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following table, revenue attributed to North America includes sales to customers in the U.S. and sales to certain multinational organizations. Revenue from EMEA, Latin America and the Asia Pacific region includes sales to customers in each region plus sales from the U.S. to distributors in these regions. Information relating to revenue from external customers from different geographical areas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223"/>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May 31, 2023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May 31, 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May 31,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May 31, 2022</w:t>
            </w: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163,487</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56,185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103,336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18,285</w:t>
            </w: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178,251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293,669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single customer, partner, or country outside the U.S. has accounted for more than 10% of our total revenue for the three and six months ended May 31, 2023 and May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0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9500" w:type="dxa"/>
            <w:vAlign w:val="bottom"/>
          </w:tcPr>
          <w:p>
            <w:pPr>
              <w:spacing w:after="0"/>
              <w:rPr>
                <w:sz w:val="20"/>
                <w:szCs w:val="20"/>
                <w:color w:val="auto"/>
              </w:rPr>
            </w:pPr>
            <w:r>
              <w:rPr>
                <w:rFonts w:ascii="Arial" w:cs="Arial" w:eastAsia="Arial" w:hAnsi="Arial"/>
                <w:sz w:val="18"/>
                <w:szCs w:val="18"/>
                <w:b w:val="1"/>
                <w:bCs w:val="1"/>
                <w:i w:val="1"/>
                <w:iCs w:val="1"/>
                <w:color w:val="auto"/>
              </w:rPr>
              <w:t>Unbilled Receivables and Contract Assets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9500" w:type="dxa"/>
            <w:vAlign w:val="bottom"/>
          </w:tcPr>
          <w:p>
            <w:pPr>
              <w:spacing w:after="0"/>
              <w:rPr>
                <w:sz w:val="20"/>
                <w:szCs w:val="20"/>
                <w:color w:val="auto"/>
              </w:rPr>
            </w:pPr>
            <w:r>
              <w:rPr>
                <w:rFonts w:ascii="Arial" w:cs="Arial" w:eastAsia="Arial" w:hAnsi="Arial"/>
                <w:sz w:val="18"/>
                <w:szCs w:val="18"/>
                <w:color w:val="auto"/>
              </w:rPr>
              <w:t>As of May 31, 2023, billing of our long-term unbilled receivables is expected to occur as follows (in thousands):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4"/>
        </w:trPr>
        <w:tc>
          <w:tcPr>
            <w:tcW w:w="9500" w:type="dxa"/>
            <w:vAlign w:val="bottom"/>
          </w:tcPr>
          <w:p>
            <w:pPr>
              <w:ind w:left="20"/>
              <w:spacing w:after="0"/>
              <w:rPr>
                <w:sz w:val="20"/>
                <w:szCs w:val="20"/>
                <w:color w:val="auto"/>
              </w:rPr>
            </w:pPr>
            <w:r>
              <w:rPr>
                <w:rFonts w:ascii="Arial" w:cs="Arial" w:eastAsia="Arial" w:hAnsi="Arial"/>
                <w:sz w:val="18"/>
                <w:szCs w:val="18"/>
                <w:color w:val="auto"/>
              </w:rPr>
              <w:t>2024</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12,880</w:t>
            </w:r>
          </w:p>
        </w:tc>
      </w:tr>
      <w:tr>
        <w:trPr>
          <w:trHeight w:val="236"/>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9,859</w:t>
            </w:r>
          </w:p>
        </w:tc>
      </w:tr>
      <w:tr>
        <w:trPr>
          <w:trHeight w:val="243"/>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38,727</w:t>
            </w:r>
          </w:p>
        </w:tc>
      </w:tr>
      <w:tr>
        <w:trPr>
          <w:trHeight w:val="20"/>
        </w:trPr>
        <w:tc>
          <w:tcPr>
            <w:tcW w:w="9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We did not have any net contract assets as of May 31, 2023 or November 30,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Deferred revenue expected to be recognized as revenue more than one year subsequent to the balance sheet date is included in long-term liabilities on the consolidated balance sheets. Our deferred revenue balance is primarily made up of deferred maintenance.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00" w:type="dxa"/>
            <w:vAlign w:val="bottom"/>
          </w:tcPr>
          <w:p>
            <w:pPr>
              <w:spacing w:after="0"/>
              <w:rPr>
                <w:sz w:val="20"/>
                <w:szCs w:val="20"/>
                <w:color w:val="auto"/>
              </w:rPr>
            </w:pPr>
            <w:r>
              <w:rPr>
                <w:rFonts w:ascii="Arial" w:cs="Arial" w:eastAsia="Arial" w:hAnsi="Arial"/>
                <w:sz w:val="18"/>
                <w:szCs w:val="18"/>
                <w:color w:val="auto"/>
              </w:rPr>
              <w:t>As of May 31, 2023, the changes in net deferred revenue were as follows (in thousands):</w:t>
            </w: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21"/>
        </w:trPr>
        <w:tc>
          <w:tcPr>
            <w:tcW w:w="9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30"/>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1, 2022</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9"/>
              </w:rPr>
              <w:t>282,440</w:t>
            </w:r>
          </w:p>
        </w:tc>
      </w:tr>
      <w:tr>
        <w:trPr>
          <w:trHeight w:val="229"/>
        </w:trPr>
        <w:tc>
          <w:tcPr>
            <w:tcW w:w="9500" w:type="dxa"/>
            <w:vAlign w:val="bottom"/>
          </w:tcPr>
          <w:p>
            <w:pPr>
              <w:ind w:left="20"/>
              <w:spacing w:after="0"/>
              <w:rPr>
                <w:sz w:val="20"/>
                <w:szCs w:val="20"/>
                <w:color w:val="auto"/>
              </w:rPr>
            </w:pPr>
            <w:r>
              <w:rPr>
                <w:rFonts w:ascii="Arial" w:cs="Arial" w:eastAsia="Arial" w:hAnsi="Arial"/>
                <w:sz w:val="18"/>
                <w:szCs w:val="18"/>
                <w:color w:val="auto"/>
              </w:rPr>
              <w:t>Billings and other</w:t>
            </w:r>
          </w:p>
        </w:tc>
        <w:tc>
          <w:tcPr>
            <w:tcW w:w="560" w:type="dxa"/>
            <w:vAlign w:val="bottom"/>
          </w:tcPr>
          <w:p>
            <w:pPr>
              <w:spacing w:after="0"/>
              <w:rPr>
                <w:sz w:val="19"/>
                <w:szCs w:val="19"/>
                <w:color w:val="auto"/>
              </w:rPr>
            </w:pP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89"/>
              </w:rPr>
              <w:t>343,674</w:t>
            </w:r>
          </w:p>
        </w:tc>
      </w:tr>
      <w:tr>
        <w:trPr>
          <w:trHeight w:val="237"/>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5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(342,477)</w:t>
            </w:r>
          </w:p>
        </w:tc>
      </w:tr>
      <w:tr>
        <w:trPr>
          <w:trHeight w:val="229"/>
        </w:trPr>
        <w:tc>
          <w:tcPr>
            <w:tcW w:w="9500" w:type="dxa"/>
            <w:vAlign w:val="bottom"/>
          </w:tcPr>
          <w:p>
            <w:pPr>
              <w:ind w:left="20"/>
              <w:spacing w:after="0"/>
              <w:rPr>
                <w:sz w:val="20"/>
                <w:szCs w:val="20"/>
                <w:color w:val="auto"/>
              </w:rPr>
            </w:pPr>
            <w:r>
              <w:rPr>
                <w:rFonts w:ascii="Arial" w:cs="Arial" w:eastAsia="Arial" w:hAnsi="Arial"/>
                <w:sz w:val="18"/>
                <w:szCs w:val="18"/>
                <w:color w:val="auto"/>
              </w:rPr>
              <w:t>Balance, May 31, 2023</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283,637</w:t>
            </w:r>
          </w:p>
        </w:tc>
      </w:tr>
      <w:tr>
        <w:trPr>
          <w:trHeight w:val="21"/>
        </w:trPr>
        <w:tc>
          <w:tcPr>
            <w:tcW w:w="9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May 31, 2023, transaction price allocated to remaining performance obligations was $288 million. We expect to recognize approximately 80% of the revenue within the next year and the remainder thereafter.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of our sales incentive programs meet the requirements to be capitalized. Depending upon the sales incentive program and the related revenue arrangement, such capitalized costs are amortized over the longer of (i) the product life, which is generally three to five years; or (ii) the term of the related revenue contract. We determined that a three to five year product life represents the period of benefit that we receive from these incremental costs based on both qualitative and quantitative factors, which include customer contracts, industry norms, and product upgrades. Total deferred contract costs were $7.7 million and $8.8 million as of May 31, 2023 and November 30, 2022, respectively, and are included in other current assets and other assets on our condensed consolidated balance sheets. Amortization of deferred contract costs is included in sales and marketing expense on our condensed consolidated statement of operations and was minimal in all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Charges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activity for our restructuring actions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color w:val="auto"/>
                <w:w w:val="92"/>
              </w:rPr>
              <w:t>Employee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ind w:right="30"/>
              <w:spacing w:after="0" w:line="176" w:lineRule="exact"/>
              <w:rPr>
                <w:sz w:val="20"/>
                <w:szCs w:val="20"/>
                <w:color w:val="auto"/>
              </w:rPr>
            </w:pPr>
            <w:r>
              <w:rPr>
                <w:rFonts w:ascii="Arial" w:cs="Arial" w:eastAsia="Arial" w:hAnsi="Arial"/>
                <w:sz w:val="18"/>
                <w:szCs w:val="18"/>
                <w:color w:val="auto"/>
                <w:w w:val="89"/>
              </w:rPr>
              <w:t>Excess Facilities and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5"/>
              </w:rPr>
              <w:t>Severance and</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ind w:right="5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Other Costs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Related Benefits</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 and other</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May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fiscal year 2023, we restructured our operations in connection with the acquisition of MarkLogic, which resulted in a reduction in redundant positions, primarily within administrative functions.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Cash disbursements for expenses incurred to date under this restructuring are expected to be made through fiscal year 2023.</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to incur additional expenses as part of these actions related to employee costs and facility closures during fiscal year 2023, but we do not expect these costs to be material.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13: Earnings per share</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compute basic earnings per share using the weighted average number of common shares outstanding. We compute diluted earnings per share using the weighted average number of common shares outstanding plus the effect of outstanding dilutive stock options, restricted stock units and deferred stock units, using the treasury stock method. The following table sets forth the calculation of basic and diluted earnings per share on an interim basis (in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230"/>
        </w:trPr>
        <w:tc>
          <w:tcPr>
            <w:tcW w:w="5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May 31, 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May 31, 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May 31, 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May 31, 2022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43,778</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56"/>
        </w:trPr>
        <w:tc>
          <w:tcPr>
            <w:tcW w:w="52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29,110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35,764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49,564</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Effect of dilution from common stock equivalents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bl>
    <w:p>
      <w:pPr>
        <w:spacing w:after="0" w:line="3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excluded stock awards representing approximately 268,000 and 304,000 shares of common stock from the calculation of diluted earnings per share in the three and six months ended May 31, 2023, respectively, as these awards were anti-dilutive. We excluded stock awards representing approximately 1,904,000 and 1,720,000 shares of common stock from the calculation of diluted earnings per share in the three and six months ended May 31, 2022, respectively, as these awards were anti-dilutive.</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dilutive impact of the Notes on our calculation of diluted earnings per share is considered using the if-converted method. However, because the principal amount of the Notes must be settled in cash, the dilutive impact of applying the if-converted method is limited to the in-the-money portion, if any, of the Notes. During the three and six months ended May 31, 2023, we did not include the Notes in our diluted earnings per share calculation because the conversion feature in the Notes was out of the money.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43"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Operating segments are components of an enterprise that engage in business activities for which discrete financial information is available and regularly reviewed by the chief operating decision maker ("CODM") in deciding how to allocate resources and assess performance. Our CODM is our Chief Executive Officer.</w:t>
      </w:r>
    </w:p>
    <w:p>
      <w:pPr>
        <w:spacing w:after="0" w:line="20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operate as one operating segment: software products to develop, deploy, and manage high-impact applications. Our CODM evaluates financial information on a consolidated basis. As we operate as one operating segment, the required financial segment information can be found in the condensed consolidated 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Cyber Related Matters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2022 Cyber Incident</w:t>
      </w:r>
    </w:p>
    <w:p>
      <w:pPr>
        <w:spacing w:after="0" w:line="23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Following the detection of irregular activity on certain portions of our corporate network, we engaged outside cybersecurity experts and other incident response professionals to conduct a forensic investigation and assess the extent and scope of the cyber incident. Cyber incident costs relate to the engagement of external cybersecurity experts and other incident response professionals. We incurred $1.5 million and $4.2 million of cyber incident costs for the three and six month periods ended May 31, 2023, respectively. Costs are provided net of received and expected insurance recoveries of approximately $3.0 million, which was recognized during the first quarter of fiscal year 2023. The timing of recognizing insurance recoveries may differ from the timing of recognizing the associated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MOVEit Vulnerability</w:t>
      </w:r>
    </w:p>
    <w:p>
      <w:pPr>
        <w:spacing w:after="0" w:line="23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On the evening of May 28, 2023, our MOVEit technical support team received an initial customer support call indicating unusual activity within their MOVEit Transfer instance. An investigative team was mobilized and, on May 30, 2023, the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0" w:name="page21"/>
    <w:bookmarkEnd w:id="20"/>
    <w:p>
      <w:pPr>
        <w:jc w:val="both"/>
        <w:ind w:right="260"/>
        <w:spacing w:after="0" w:line="241" w:lineRule="auto"/>
        <w:rPr>
          <w:sz w:val="20"/>
          <w:szCs w:val="20"/>
          <w:color w:val="auto"/>
        </w:rPr>
      </w:pPr>
      <w:r>
        <w:rPr>
          <w:rFonts w:ascii="Arial" w:cs="Arial" w:eastAsia="Arial" w:hAnsi="Arial"/>
          <w:sz w:val="18"/>
          <w:szCs w:val="18"/>
          <w:color w:val="auto"/>
        </w:rPr>
        <w:t>investigative team discovered a zero-day vulnerability in MOVEit Transfer (including our cloud-hosted version of MOVEit Transfer known as MOVEit Cloud). The investigative team determined the zero-day vulnerability (the “MOVEit Vulnerability”) could provide for unauthorized escalated privileges and access to the customer’s underlying environment in both MOVEit Transfer (the on-premise version) and MOVEit Cloud (a cloud-hosted version of MOVEit Transfer that we deploy in both (i) a public cloud format, as well as (ii) for a small group of customers, in a customer-dedicated cloud instance which is managed separately from the public-cloud).</w:t>
      </w:r>
    </w:p>
    <w:p>
      <w:pPr>
        <w:spacing w:after="0" w:line="2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has engaged outside cybersecurity experts and other incident response professionals to conduct a forensic investigation and assess the extent and scope of the MOVEit Vulnerability. As the investigation remains ongoing, the Company will continue to assess the potential impact on its business, operations and financial results. MOVEit Transfer and MOVEit Cloud represented approximately 4% in aggregate of the Company’s revenue for the six months ended May 31, 2023.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Governmental Investigations</w:t>
      </w:r>
    </w:p>
    <w:p>
      <w:pPr>
        <w:spacing w:after="0" w:line="23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As of the date of the filing of this report on Form 10-Q, (i) four customers that claim to have been impacted by the MOVEit Vulnerability have indicated that they intend to seek indemnification from the Company related to the MOVEit Vulnerability, and (ii) there have been eleven class action lawsuits filed by individuals who claim to have been impacted by exfiltration of data from the environments of our MOVEit Transfer customers. The Company has also been cooperating with several inquiries and one formal investigation from domestic and foreign law enforcement agencies and data privacy regulators.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Future Costs</w:t>
      </w:r>
    </w:p>
    <w:p>
      <w:pPr>
        <w:spacing w:after="0" w:line="23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Given that the MOVEit Vulnerability occurred near the end of the current quarter, we incurred minimal costs during the second quarter of fiscal year 2023. We expect to incur investigation, legal and professional services expenses associated with the MOVEit Vulnerability in future periods. We will recognize these expenses as services are received, net of received and expected insurance recoveries. While a loss from these matters is possible, we cannot reasonably estimate a range of possible losses at this time and our investigation into the matter is ongoing. Furthermore, with respect to the litigation, the proceedings remain in the early stages, alleged damages have not been specified, there is uncertainty as to the likelihood of a class or classes being certified or the ultimate size of any class if certified, and there are significant factual and legal issues to be resolved. Therefore, we have not recorded a loss contingency liability for the MOVEit Vulnerability as of May 31, 2023.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23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maintain cybersecurity insurance and other types of insurance coverage for up to $15.0 million in losses, which are expected to reduce our exposure to liabilities arising from the November 2022 cyber incident and the MOVEit Vulnerability. We will pursue recoveries to the maximum extent available under the policies. As of May 31, 2023, we have recorded approximately $3.0 million in insurance recoveries, all of which was related to the November 2022 cyber incident, providing us with $12.0 million of additional coverage (which is subject to a $0.5 million per claim deductible).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Form 10-Q may contain information that are "forward-looking statements" within the meaning of Section 27A of the Securities Act of 1933, as amended; Section 21E of the Securities Exchange Act of 1934, as amended; and the Private Securities Litigation Reform Act of 1995. Whenever we use words such as "believe," "may," "could," "would," "might," "should," "expect," "intend," "plan," "estimate," "target," "anticipate" and negatives and derivatives of these or similar expressions, or when we make statements concerning future financial results, product offerings or other events that have not yet occurred, we are making forward-looking statements. These forward-looking statements are based upon our present intent, beliefs or expectations, but are not guaranteed to occur and may not occur. Actual future results may differ materially from those contained in or implied by our forward-looking statements due to various factors which are more fully described in Part I, Item 1A. Risk Factors in our 2022 Annual Report as well as the risk factors described in Part II, Item 1A of this Report on Form 10-Q. Although we have sought to identify the most significant risks to our business, we cannot predict whether, or to what extent, any of such risks may be realized. We also cannot assure you that we have identified all possible issues that we might face. We undertake no obligation to update any forward-looking statements that we make.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Progress is the trusted provider of the best products to develop, deploy and manage high-impact applications. We enable our customers to develop the applications and experiences they need, deploy where and how they want, and manage it all safely and securely. Progress helps customers drive faster cycles of innovation, fuel momentum and accelerate their path to success.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key tenets of our strategic plan and operating model are as follows:</w:t>
      </w: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Be the Trusted Provider of the Best Products to Develop, Deploy and Manage High Impact Applications</w:t>
      </w:r>
      <w:r>
        <w:rPr>
          <w:rFonts w:ascii="Arial" w:cs="Arial" w:eastAsia="Arial" w:hAnsi="Arial"/>
          <w:sz w:val="17"/>
          <w:szCs w:val="17"/>
          <w:color w:val="auto"/>
        </w:rPr>
        <w:t>. A key element of our strategy is centered on</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 and maintaining the best products and tools enterprises need to build, deploy, and manage modern, strategic business applications. We offer these products and tools to both new customers and partners, as well as our existing partner and customer ecosystems.</w:t>
      </w:r>
    </w:p>
    <w:p>
      <w:pPr>
        <w:spacing w:after="0" w:line="18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Focus on Customer and Partner Retention to Drive Recurring Revenue and Profitability</w:t>
      </w:r>
      <w:r>
        <w:rPr>
          <w:rFonts w:ascii="Arial" w:cs="Arial" w:eastAsia="Arial" w:hAnsi="Arial"/>
          <w:sz w:val="18"/>
          <w:szCs w:val="18"/>
          <w:color w:val="auto"/>
        </w:rPr>
        <w:t>. Our organizational philosophy and operating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focus primarily on customer and partner retention and success, and a streamlined operating approach to drive predictable and stable recurring revenue and high levels of profitability.</w:t>
      </w:r>
    </w:p>
    <w:p>
      <w:pPr>
        <w:spacing w:after="0" w:line="20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color w:val="auto"/>
        </w:rPr>
        <w:t xml:space="preserve">Follow a Total Growth Strategy through Accretive M&amp;A. </w:t>
      </w:r>
      <w:r>
        <w:rPr>
          <w:rFonts w:ascii="Arial" w:cs="Arial" w:eastAsia="Arial" w:hAnsi="Arial"/>
          <w:sz w:val="18"/>
          <w:szCs w:val="18"/>
          <w:color w:val="auto"/>
        </w:rPr>
        <w:t>We are pursuing a total growth strategy driven by accretive acquisitions of businesses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infrastructure software space, with products that appeal to both IT organizations and individual developers. These acquisitions must meet strict financial and other criteria, which help further our goal to provide significant stockholder returns by providing scale and increased cash flows. In April 2019, we acquired Ipswitch, Inc.; in October 2020, we acquired Chef Software, Inc.; in November 2021, we acquired Kemp Technologies; and in February 2023, we acquired MarkLogic. These acquisitions met our strict financial criteria.</w:t>
      </w:r>
    </w:p>
    <w:p>
      <w:pPr>
        <w:spacing w:after="0" w:line="226"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color w:val="auto"/>
        </w:rPr>
        <w:t>In recent years, our total growth strategy, described above, has resulted in the rapid expansion of our product portfolio. As our portfolio evolves, we continuously evaluate our organization for additional synergies and efficiencies. In connection therewith, we are working to realign our go-to-market, product, and operational teams and to increase centralization of shared services and functions across our company. We believe that these changes will improve collaboration among the teams that develop, sell, and support our products; enhance our ability to integrate acquired businesses; and lead to greater system uniformity and increased operating efficiency.</w:t>
      </w:r>
    </w:p>
    <w:p>
      <w:pPr>
        <w:spacing w:after="0" w:line="20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Employ a Multi-Faceted Capital Allocation Strategy</w:t>
      </w:r>
      <w:r>
        <w:rPr>
          <w:rFonts w:ascii="Arial" w:cs="Arial" w:eastAsia="Arial" w:hAnsi="Arial"/>
          <w:sz w:val="18"/>
          <w:szCs w:val="18"/>
          <w:color w:val="auto"/>
        </w:rPr>
        <w:t>. Our capital allocation policy emphasizes accretive M&amp;A, which allows us to expand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and drive significant stockholder returns. We also utilize dividends and share repurchases to return capital to stockholders. We intend to continue to repurchase our shares in sufficient quantities to offset dilution from our equity plans and to continue to return a portion of our annual cash flows from operations to stockholders in the form of dividends.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expect to continue to pursue acquisitions meeting our financial criteria that are designed to expand our business and drive significant stockholder returns. As a result, our expected uses of cash could change, our cash position could be reduced, and we may incur additional debt obligations to the extent we complete additional acquisitions. However, we currently believe that existing cash balances, together with funds generated from operations and amounts available under our Credit Facility, will be sufficient to finance our operations and meet our foreseeable cash requirements, including quarterly cash dividends and stock repurchases to Progress stockholders, as applicable, through at least the next twelve months.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GAAP. We make estimates and assumptions in the preparation of our consolidated financial statements that affect the reported amounts of assets and liabilities, revenue and expenses and related disclosures of contingent assets and liabilities. We base our estimates on historical experience and various other assumptions that are believed to be reasonable under the circumstances. However, actual results may differ from these estimates. The most significant estimates relate to revenue recognition and business combinations. For further information regarding the application of these and other accounting policies, see Note 1 to our Consolidated Financial Statements in Item 8 of our 2022 Annual Report. There have been no significant changes to our critical accounting policies and estimates since our 2022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Constant Currency</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Revenue from our international operations has historically represented a substantial portion of our total revenue. As a result, our revenue results have been impacted, and we expect will continue to be impacted, by fluctuations in foreign currency exchange rates. For example, if the local currencies of our foreign subsidiaries strengthen, our consolidated results stated in U.S. dollars are positively impacted.</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exchange rates are an important factor in understanding period-to-period comparisons, we believe the presentation of revenue growth rates on a constant currency basis enhances the understanding of our revenue results and evaluation of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2" w:name="page23"/>
    <w:bookmarkEnd w:id="22"/>
    <w:p>
      <w:pPr>
        <w:ind w:right="420"/>
        <w:spacing w:after="0" w:line="263" w:lineRule="auto"/>
        <w:rPr>
          <w:sz w:val="20"/>
          <w:szCs w:val="20"/>
          <w:color w:val="auto"/>
        </w:rPr>
      </w:pPr>
      <w:r>
        <w:rPr>
          <w:rFonts w:ascii="Arial" w:cs="Arial" w:eastAsia="Arial" w:hAnsi="Arial"/>
          <w:sz w:val="18"/>
          <w:szCs w:val="18"/>
          <w:color w:val="auto"/>
        </w:rPr>
        <w:t>performance in comparison to prior periods. The constant currency information presented is calculated by translating current period results using prior period weighted average foreign currency exchange rates. These results should be considered in addition to, not as a substitute for, results reported in accordance with GAAP.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2"/>
                <w:szCs w:val="22"/>
                <w:color w:val="auto"/>
              </w:rPr>
            </w:pPr>
          </w:p>
        </w:tc>
        <w:tc>
          <w:tcPr>
            <w:tcW w:w="182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color w:val="auto"/>
                <w:w w:val="87"/>
              </w:rPr>
              <w:t>% Change</w:t>
            </w:r>
          </w:p>
        </w:tc>
        <w:tc>
          <w:tcPr>
            <w:tcW w:w="1040" w:type="dxa"/>
            <w:vAlign w:val="bottom"/>
            <w:tcBorders>
              <w:bottom w:val="single" w:sz="8" w:color="auto"/>
            </w:tcBorders>
          </w:tcPr>
          <w:p>
            <w:pPr>
              <w:spacing w:after="0"/>
              <w:rPr>
                <w:sz w:val="22"/>
                <w:szCs w:val="22"/>
                <w:color w:val="auto"/>
              </w:rPr>
            </w:pPr>
          </w:p>
        </w:tc>
      </w:tr>
      <w:tr>
        <w:trPr>
          <w:trHeight w:val="182"/>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ind w:left="40"/>
              <w:spacing w:after="0" w:line="182" w:lineRule="exact"/>
              <w:rPr>
                <w:sz w:val="20"/>
                <w:szCs w:val="20"/>
                <w:color w:val="auto"/>
              </w:rPr>
            </w:pPr>
            <w:r>
              <w:rPr>
                <w:rFonts w:ascii="Arial" w:cs="Arial" w:eastAsia="Arial" w:hAnsi="Arial"/>
                <w:sz w:val="18"/>
                <w:szCs w:val="18"/>
                <w:color w:val="auto"/>
              </w:rPr>
              <w:t>Constant</w:t>
            </w:r>
          </w:p>
        </w:tc>
      </w:tr>
      <w:tr>
        <w:trPr>
          <w:trHeight w:val="230"/>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7"/>
              </w:rPr>
              <w:t>May 31, 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2022</w:t>
            </w:r>
          </w:p>
        </w:tc>
        <w:tc>
          <w:tcPr>
            <w:tcW w:w="120" w:type="dxa"/>
            <w:vAlign w:val="bottom"/>
          </w:tcPr>
          <w:p>
            <w:pPr>
              <w:spacing w:after="0"/>
              <w:rPr>
                <w:sz w:val="20"/>
                <w:szCs w:val="20"/>
                <w:color w:val="auto"/>
              </w:rPr>
            </w:pP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As Reported</w:t>
            </w:r>
          </w:p>
        </w:tc>
        <w:tc>
          <w:tcPr>
            <w:tcW w:w="1040" w:type="dxa"/>
            <w:vAlign w:val="bottom"/>
          </w:tcPr>
          <w:p>
            <w:pPr>
              <w:ind w:left="20"/>
              <w:spacing w:after="0"/>
              <w:rPr>
                <w:sz w:val="20"/>
                <w:szCs w:val="20"/>
                <w:color w:val="auto"/>
              </w:rPr>
            </w:pPr>
            <w:r>
              <w:rPr>
                <w:rFonts w:ascii="Arial" w:cs="Arial" w:eastAsia="Arial" w:hAnsi="Arial"/>
                <w:sz w:val="18"/>
                <w:szCs w:val="18"/>
                <w:color w:val="auto"/>
              </w:rPr>
              <w:t>Currency</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148,747</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2"/>
              </w:rPr>
              <w:t>20 %</w:t>
            </w:r>
          </w:p>
        </w:tc>
      </w:tr>
      <w:tr>
        <w:trPr>
          <w:trHeight w:val="594"/>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24"/>
                <w:szCs w:val="24"/>
                <w:color w:val="auto"/>
              </w:rPr>
            </w:pPr>
          </w:p>
        </w:tc>
        <w:tc>
          <w:tcPr>
            <w:tcW w:w="182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color w:val="auto"/>
                <w:w w:val="87"/>
              </w:rPr>
              <w:t>% Change</w:t>
            </w:r>
          </w:p>
        </w:tc>
        <w:tc>
          <w:tcPr>
            <w:tcW w:w="1040" w:type="dxa"/>
            <w:vAlign w:val="bottom"/>
            <w:tcBorders>
              <w:bottom w:val="single" w:sz="8" w:color="auto"/>
            </w:tcBorders>
          </w:tcPr>
          <w:p>
            <w:pPr>
              <w:spacing w:after="0"/>
              <w:rPr>
                <w:sz w:val="24"/>
                <w:szCs w:val="24"/>
                <w:color w:val="auto"/>
              </w:rPr>
            </w:pPr>
          </w:p>
        </w:tc>
      </w:tr>
      <w:tr>
        <w:trPr>
          <w:trHeight w:val="182"/>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ind w:left="40"/>
              <w:spacing w:after="0" w:line="182" w:lineRule="exact"/>
              <w:rPr>
                <w:sz w:val="20"/>
                <w:szCs w:val="20"/>
                <w:color w:val="auto"/>
              </w:rPr>
            </w:pPr>
            <w:r>
              <w:rPr>
                <w:rFonts w:ascii="Arial" w:cs="Arial" w:eastAsia="Arial" w:hAnsi="Arial"/>
                <w:sz w:val="18"/>
                <w:szCs w:val="18"/>
                <w:color w:val="auto"/>
              </w:rPr>
              <w:t>Constant</w:t>
            </w:r>
          </w:p>
        </w:tc>
      </w:tr>
      <w:tr>
        <w:trPr>
          <w:trHeight w:val="230"/>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7"/>
              </w:rPr>
              <w:t>May 31, 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2022</w:t>
            </w:r>
          </w:p>
        </w:tc>
        <w:tc>
          <w:tcPr>
            <w:tcW w:w="120" w:type="dxa"/>
            <w:vAlign w:val="bottom"/>
          </w:tcPr>
          <w:p>
            <w:pPr>
              <w:spacing w:after="0"/>
              <w:rPr>
                <w:sz w:val="20"/>
                <w:szCs w:val="20"/>
                <w:color w:val="auto"/>
              </w:rPr>
            </w:pP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As Reported</w:t>
            </w:r>
          </w:p>
        </w:tc>
        <w:tc>
          <w:tcPr>
            <w:tcW w:w="1040" w:type="dxa"/>
            <w:vAlign w:val="bottom"/>
          </w:tcPr>
          <w:p>
            <w:pPr>
              <w:ind w:left="20"/>
              <w:spacing w:after="0"/>
              <w:rPr>
                <w:sz w:val="20"/>
                <w:szCs w:val="20"/>
                <w:color w:val="auto"/>
              </w:rPr>
            </w:pPr>
            <w:r>
              <w:rPr>
                <w:rFonts w:ascii="Arial" w:cs="Arial" w:eastAsia="Arial" w:hAnsi="Arial"/>
                <w:sz w:val="18"/>
                <w:szCs w:val="18"/>
                <w:color w:val="auto"/>
              </w:rPr>
              <w:t>Currency</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342,477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293,669</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2"/>
              </w:rPr>
              <w:t>18 %</w:t>
            </w:r>
          </w:p>
        </w:tc>
      </w:tr>
    </w:tbl>
    <w:p>
      <w:pPr>
        <w:spacing w:after="0" w:line="31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Total revenue increased as compared to the same periods last year primarily due to our acquisition of MarkLogic in February 2023, as well as increases in our OpenEdge, Chef, and Kemp product offerings. In the second fiscal quarter, these increases were partially offset by a decrease in our DataDirect product offering. In the first six months of fiscal year 2023, there was also an increase in our DataDirect product offering, offset by the negative impact of foreign exchange on license and maintenance revenue in our EMEA region.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Software License Revenue</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2"/>
                <w:szCs w:val="22"/>
                <w:color w:val="auto"/>
              </w:rPr>
            </w:pPr>
          </w:p>
        </w:tc>
        <w:tc>
          <w:tcPr>
            <w:tcW w:w="17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w w:val="85"/>
              </w:rPr>
              <w:t>% Change</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color w:val="auto"/>
                <w:w w:val="98"/>
              </w:rPr>
              <w:t>May 31, 2023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color w:val="auto"/>
                <w:w w:val="98"/>
              </w:rPr>
              <w:t>May 31, 2022</w:t>
            </w:r>
          </w:p>
        </w:tc>
        <w:tc>
          <w:tcPr>
            <w:tcW w:w="100" w:type="dxa"/>
            <w:vAlign w:val="bottom"/>
          </w:tcPr>
          <w:p>
            <w:pPr>
              <w:spacing w:after="0"/>
              <w:rPr>
                <w:sz w:val="14"/>
                <w:szCs w:val="14"/>
                <w:color w:val="auto"/>
              </w:rPr>
            </w:pPr>
          </w:p>
        </w:tc>
        <w:tc>
          <w:tcPr>
            <w:tcW w:w="1780" w:type="dxa"/>
            <w:vAlign w:val="bottom"/>
            <w:gridSpan w:val="3"/>
            <w:vMerge w:val="restart"/>
          </w:tcPr>
          <w:p>
            <w:pPr>
              <w:ind w:left="220"/>
              <w:spacing w:after="0"/>
              <w:rPr>
                <w:sz w:val="20"/>
                <w:szCs w:val="20"/>
                <w:color w:val="auto"/>
              </w:rPr>
            </w:pPr>
            <w:r>
              <w:rPr>
                <w:rFonts w:ascii="Arial" w:cs="Arial" w:eastAsia="Arial" w:hAnsi="Arial"/>
                <w:sz w:val="18"/>
                <w:szCs w:val="18"/>
                <w:color w:val="auto"/>
              </w:rPr>
              <w:t>As Reported</w:t>
            </w:r>
          </w:p>
        </w:tc>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vMerge w:val="continue"/>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29"/>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 licenses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56,407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44,814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30 %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5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91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24"/>
                <w:szCs w:val="24"/>
                <w:color w:val="auto"/>
              </w:rPr>
            </w:pPr>
          </w:p>
        </w:tc>
        <w:tc>
          <w:tcPr>
            <w:tcW w:w="17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w w:val="85"/>
              </w:rPr>
              <w:t>% Change</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8"/>
              </w:rPr>
              <w:t>May 31, 2023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8"/>
              </w:rPr>
              <w:t>May 31, 2022</w:t>
            </w:r>
          </w:p>
        </w:tc>
        <w:tc>
          <w:tcPr>
            <w:tcW w:w="10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Arial" w:cs="Arial" w:eastAsia="Arial" w:hAnsi="Arial"/>
                <w:sz w:val="18"/>
                <w:szCs w:val="18"/>
                <w:color w:val="auto"/>
              </w:rPr>
              <w:t>As Reported</w:t>
            </w:r>
          </w:p>
        </w:tc>
        <w:tc>
          <w:tcPr>
            <w:tcW w:w="1020" w:type="dxa"/>
            <w:vAlign w:val="bottom"/>
          </w:tcPr>
          <w:p>
            <w:pPr>
              <w:ind w:left="2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licenses</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113,975</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87,564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2"/>
              </w:rPr>
              <w:t>31 %</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30 %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Software license revenue increased as compared to the same period last year primarily due to our acquisition of MarkLogic in February 2023, as well as increases in our OpenEdge, Chef, and Kemp product offerings. In the second fiscal quarter, these increases were partially offset by decreases in our DataDirect product offering. In the first six months of fiscal year 2023, there was also an increase in our DataDirect product offering.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Services Revenue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color w:val="auto"/>
                <w:w w:val="87"/>
              </w:rPr>
              <w:t>% Change</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1"/>
              </w:rPr>
              <w:t>Constant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8"/>
              </w:rPr>
              <w:t>May 31, 2023</w:t>
            </w:r>
          </w:p>
        </w:tc>
        <w:tc>
          <w:tcPr>
            <w:tcW w:w="120" w:type="dxa"/>
            <w:vAlign w:val="bottom"/>
          </w:tcPr>
          <w:p>
            <w:pPr>
              <w:spacing w:after="0"/>
              <w:rPr>
                <w:sz w:val="20"/>
                <w:szCs w:val="20"/>
                <w:color w:val="auto"/>
              </w:rPr>
            </w:pP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May 31, 2022</w:t>
            </w:r>
          </w:p>
        </w:tc>
        <w:tc>
          <w:tcPr>
            <w:tcW w:w="12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Arial" w:cs="Arial" w:eastAsia="Arial" w:hAnsi="Arial"/>
                <w:sz w:val="18"/>
                <w:szCs w:val="18"/>
                <w:color w:val="auto"/>
              </w:rPr>
              <w:t>As Reported</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0"/>
              </w:rPr>
              <w:t>Currency</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102,240</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91,331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57 %</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61 %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19,604</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12,602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11 %</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9 %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maintenance and services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121,844</w:t>
            </w:r>
          </w:p>
        </w:tc>
        <w:tc>
          <w:tcPr>
            <w:tcW w:w="8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2"/>
              </w:rPr>
              <w:t>103,933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4" w:lineRule="exact"/>
              <w:rPr>
                <w:sz w:val="20"/>
                <w:szCs w:val="20"/>
                <w:color w:val="auto"/>
              </w:rPr>
            </w:pPr>
            <w:r>
              <w:rPr>
                <w:rFonts w:ascii="Arial" w:cs="Arial" w:eastAsia="Arial" w:hAnsi="Arial"/>
                <w:sz w:val="18"/>
                <w:szCs w:val="18"/>
                <w:i w:val="1"/>
                <w:iCs w:val="1"/>
                <w:color w:val="auto"/>
              </w:rPr>
              <w:t>68 %</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right"/>
              <w:spacing w:after="0" w:line="204" w:lineRule="exact"/>
              <w:rPr>
                <w:sz w:val="20"/>
                <w:szCs w:val="20"/>
                <w:color w:val="auto"/>
              </w:rPr>
            </w:pPr>
            <w:r>
              <w:rPr>
                <w:rFonts w:ascii="Arial" w:cs="Arial" w:eastAsia="Arial" w:hAnsi="Arial"/>
                <w:sz w:val="18"/>
                <w:szCs w:val="18"/>
                <w:i w:val="1"/>
                <w:iCs w:val="1"/>
                <w:color w:val="auto"/>
              </w:rPr>
              <w:t>70 %</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color w:val="auto"/>
                <w:w w:val="87"/>
              </w:rPr>
              <w:t>% Change</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1"/>
              </w:rPr>
              <w:t>Constant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8"/>
              </w:rPr>
              <w:t>May 31, 2023</w:t>
            </w:r>
          </w:p>
        </w:tc>
        <w:tc>
          <w:tcPr>
            <w:tcW w:w="120" w:type="dxa"/>
            <w:vAlign w:val="bottom"/>
          </w:tcPr>
          <w:p>
            <w:pPr>
              <w:spacing w:after="0"/>
              <w:rPr>
                <w:sz w:val="20"/>
                <w:szCs w:val="20"/>
                <w:color w:val="auto"/>
              </w:rPr>
            </w:pP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May 31, 2022</w:t>
            </w:r>
          </w:p>
        </w:tc>
        <w:tc>
          <w:tcPr>
            <w:tcW w:w="12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Arial" w:cs="Arial" w:eastAsia="Arial" w:hAnsi="Arial"/>
                <w:sz w:val="18"/>
                <w:szCs w:val="18"/>
                <w:color w:val="auto"/>
              </w:rPr>
              <w:t>As Reported</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0"/>
              </w:rPr>
              <w:t>Currency</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194,753</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181,294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57 %</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62 %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33,749</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24,811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8 %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maintenance and services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228,502</w:t>
            </w:r>
          </w:p>
        </w:tc>
        <w:tc>
          <w:tcPr>
            <w:tcW w:w="8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206,105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4" w:lineRule="exact"/>
              <w:rPr>
                <w:sz w:val="20"/>
                <w:szCs w:val="20"/>
                <w:color w:val="auto"/>
              </w:rPr>
            </w:pPr>
            <w:r>
              <w:rPr>
                <w:rFonts w:ascii="Arial" w:cs="Arial" w:eastAsia="Arial" w:hAnsi="Arial"/>
                <w:sz w:val="18"/>
                <w:szCs w:val="18"/>
                <w:i w:val="1"/>
                <w:iCs w:val="1"/>
                <w:color w:val="auto"/>
              </w:rPr>
              <w:t>67 %</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Arial" w:cs="Arial" w:eastAsia="Arial" w:hAnsi="Arial"/>
                <w:sz w:val="18"/>
                <w:szCs w:val="18"/>
                <w:i w:val="1"/>
                <w:iCs w:val="1"/>
                <w:color w:val="auto"/>
              </w:rPr>
              <w:t>70 %</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440"/>
        <w:spacing w:after="0" w:line="279" w:lineRule="auto"/>
        <w:rPr>
          <w:sz w:val="20"/>
          <w:szCs w:val="20"/>
          <w:color w:val="auto"/>
        </w:rPr>
      </w:pPr>
      <w:r>
        <w:rPr>
          <w:rFonts w:ascii="Arial" w:cs="Arial" w:eastAsia="Arial" w:hAnsi="Arial"/>
          <w:sz w:val="17"/>
          <w:szCs w:val="17"/>
          <w:color w:val="auto"/>
        </w:rPr>
        <w:t>Maintenance revenue increased as compared to the same periods last year primarily due to our acquisition of MarkLogic in February 2023, as well as increases in our DevTools and Chef product offerings. Services revenue increased as compared to the same period last year primarily due to increased services revenue from our acquisition of MarkLogic, as well as increases in our Sitefinity product offerings. The maintenance increase in the first six months of fiscal year 2023 was partially offset by the negative impact of foreign exchange in our EMEA region.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i w:val="1"/>
                <w:iCs w:val="1"/>
                <w:color w:val="auto"/>
              </w:rPr>
              <w:t>Revenue by Region</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Three Months Ended</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color w:val="auto"/>
                <w:w w:val="87"/>
              </w:rPr>
              <w:t>% Change</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color w:val="auto"/>
              </w:rPr>
              <w:t>May 31, 2023</w:t>
            </w:r>
          </w:p>
        </w:tc>
        <w:tc>
          <w:tcPr>
            <w:tcW w:w="120" w:type="dxa"/>
            <w:vAlign w:val="bottom"/>
          </w:tcPr>
          <w:p>
            <w:pPr>
              <w:spacing w:after="0"/>
              <w:rPr>
                <w:sz w:val="14"/>
                <w:szCs w:val="14"/>
                <w:color w:val="auto"/>
              </w:rPr>
            </w:pPr>
          </w:p>
        </w:tc>
        <w:tc>
          <w:tcPr>
            <w:tcW w:w="1720" w:type="dxa"/>
            <w:vAlign w:val="bottom"/>
            <w:gridSpan w:val="2"/>
            <w:vMerge w:val="restart"/>
          </w:tcPr>
          <w:p>
            <w:pPr>
              <w:jc w:val="right"/>
              <w:ind w:right="270"/>
              <w:spacing w:after="0"/>
              <w:rPr>
                <w:sz w:val="20"/>
                <w:szCs w:val="20"/>
                <w:color w:val="auto"/>
              </w:rPr>
            </w:pPr>
            <w:r>
              <w:rPr>
                <w:rFonts w:ascii="Arial" w:cs="Arial" w:eastAsia="Arial" w:hAnsi="Arial"/>
                <w:sz w:val="18"/>
                <w:szCs w:val="18"/>
                <w:color w:val="auto"/>
              </w:rPr>
              <w:t>May 31, 2022</w:t>
            </w:r>
          </w:p>
        </w:tc>
        <w:tc>
          <w:tcPr>
            <w:tcW w:w="120" w:type="dxa"/>
            <w:vAlign w:val="bottom"/>
          </w:tcPr>
          <w:p>
            <w:pPr>
              <w:spacing w:after="0"/>
              <w:rPr>
                <w:sz w:val="14"/>
                <w:szCs w:val="14"/>
                <w:color w:val="auto"/>
              </w:rPr>
            </w:pPr>
          </w:p>
        </w:tc>
        <w:tc>
          <w:tcPr>
            <w:tcW w:w="1780" w:type="dxa"/>
            <w:vAlign w:val="bottom"/>
            <w:gridSpan w:val="3"/>
            <w:vMerge w:val="restart"/>
          </w:tcPr>
          <w:p>
            <w:pPr>
              <w:ind w:left="220"/>
              <w:spacing w:after="0"/>
              <w:rPr>
                <w:sz w:val="20"/>
                <w:szCs w:val="20"/>
                <w:color w:val="auto"/>
              </w:rPr>
            </w:pPr>
            <w:r>
              <w:rPr>
                <w:rFonts w:ascii="Arial" w:cs="Arial" w:eastAsia="Arial" w:hAnsi="Arial"/>
                <w:sz w:val="18"/>
                <w:szCs w:val="18"/>
                <w:color w:val="auto"/>
              </w:rPr>
              <w:t>As Reported</w:t>
            </w:r>
          </w:p>
        </w:tc>
        <w:tc>
          <w:tcPr>
            <w:tcW w:w="1020" w:type="dxa"/>
            <w:vAlign w:val="bottom"/>
          </w:tcPr>
          <w:p>
            <w:pPr>
              <w:ind w:left="40"/>
              <w:spacing w:after="0" w:line="169" w:lineRule="exact"/>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vMerge w:val="continue"/>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105,732</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85,394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59 %</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58 %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the Middle East and Africa ("EMEA")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56,185</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49,634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4,790</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4,678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11,544</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9,041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6 %</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4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Six Months Ended</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color w:val="auto"/>
                <w:w w:val="87"/>
              </w:rPr>
              <w:t>% Change</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ind w:left="40"/>
              <w:spacing w:after="0" w:line="182" w:lineRule="exact"/>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May 31, 2023</w:t>
            </w:r>
          </w:p>
        </w:tc>
        <w:tc>
          <w:tcPr>
            <w:tcW w:w="120" w:type="dxa"/>
            <w:vAlign w:val="bottom"/>
          </w:tcPr>
          <w:p>
            <w:pPr>
              <w:spacing w:after="0"/>
              <w:rPr>
                <w:sz w:val="20"/>
                <w:szCs w:val="20"/>
                <w:color w:val="auto"/>
              </w:rPr>
            </w:pPr>
          </w:p>
        </w:tc>
        <w:tc>
          <w:tcPr>
            <w:tcW w:w="1720" w:type="dxa"/>
            <w:vAlign w:val="bottom"/>
            <w:gridSpan w:val="2"/>
          </w:tcPr>
          <w:p>
            <w:pPr>
              <w:jc w:val="right"/>
              <w:ind w:right="270"/>
              <w:spacing w:after="0"/>
              <w:rPr>
                <w:sz w:val="20"/>
                <w:szCs w:val="20"/>
                <w:color w:val="auto"/>
              </w:rPr>
            </w:pPr>
            <w:r>
              <w:rPr>
                <w:rFonts w:ascii="Arial" w:cs="Arial" w:eastAsia="Arial" w:hAnsi="Arial"/>
                <w:sz w:val="18"/>
                <w:szCs w:val="18"/>
                <w:color w:val="auto"/>
              </w:rPr>
              <w:t>May 31, 2022</w:t>
            </w:r>
          </w:p>
        </w:tc>
        <w:tc>
          <w:tcPr>
            <w:tcW w:w="12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Arial" w:cs="Arial" w:eastAsia="Arial" w:hAnsi="Arial"/>
                <w:sz w:val="18"/>
                <w:szCs w:val="18"/>
                <w:color w:val="auto"/>
              </w:rPr>
              <w:t>As Reported</w:t>
            </w:r>
          </w:p>
        </w:tc>
        <w:tc>
          <w:tcPr>
            <w:tcW w:w="1020" w:type="dxa"/>
            <w:vAlign w:val="bottom"/>
          </w:tcPr>
          <w:p>
            <w:pPr>
              <w:ind w:left="2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204,560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163,487</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56 %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the Middle East and Africa ("EMEA")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109,590</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103,336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35 %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8,979</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8,561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19,348</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18,285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5 %</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Total revenue generated in North America increased $20.3 million and $41.1 million in the second quarter and first six months of fiscal year 2023, respectively. The increase was primarily due to our acquisition of MarkLogic. The increases in revenue over both periods generated in EMEA was primarily due to our acquisition of MarkLogic and increased revenue from our Chef product offerings. The increase in the first six months of fiscal year 2023 was partially offset by the negative impact of foreign exchange in our EMEA region. The increases in both periods in revenue in Latin America was primarily due to increases in our OpenEdge product offerings. The increases in revenue generated in Asia Pacific in both periods was due to increases in our Chef product offerings.</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first six months of fiscal year 2023 revenue generated in markets outside North America represented 40% of total revenue compared to 41% of total revenue on a constant currency basis. In the first six months of fiscal year 2022 revenue generated in markets outside North America represented 44% of total revenue compared to 45% of total revenue on a constant currency basis.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i w:val="1"/>
                <w:iCs w:val="1"/>
                <w:color w:val="auto"/>
              </w:rPr>
              <w:t>Cost of Software Licenses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Three Months Ended</w:t>
            </w: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4"/>
              </w:rPr>
              <w:t>Six Months Ended</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May 31, 2023</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May 31, 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May 31, 2023</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May 31, 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software licenses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231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As a percentage of software</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6 %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6 %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license revenue</w:t>
            </w:r>
          </w:p>
        </w:tc>
        <w:tc>
          <w:tcPr>
            <w:tcW w:w="3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0"/>
              </w:rPr>
              <w:t>As a percentage of total revenue</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Cost of software licenses consists primarily of costs of inventories, royalties, electronic software distribution, duplication, and packaging. Cost of software licenses as a percentage of software license revenue varies from period to period depending upon the relative product mix.</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gridSpan w:val="2"/>
          </w:tcPr>
          <w:p>
            <w:pPr>
              <w:spacing w:after="0"/>
              <w:rPr>
                <w:sz w:val="20"/>
                <w:szCs w:val="20"/>
                <w:color w:val="auto"/>
              </w:rPr>
            </w:pPr>
            <w:r>
              <w:rPr>
                <w:rFonts w:ascii="Arial" w:cs="Arial" w:eastAsia="Arial" w:hAnsi="Arial"/>
                <w:sz w:val="18"/>
                <w:szCs w:val="18"/>
                <w:i w:val="1"/>
                <w:iCs w:val="1"/>
                <w:color w:val="auto"/>
                <w:w w:val="98"/>
              </w:rPr>
              <w:t>Cost of Maintenance and Services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Three Months Ended</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Six Months Ended</w:t>
            </w:r>
          </w:p>
        </w:tc>
        <w:tc>
          <w:tcPr>
            <w:tcW w:w="5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May 31, 2023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May 31, 2023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May 31, 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Cost of maintenance and</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22,970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40,471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30,946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9,525</w:t>
            </w: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Arial" w:cs="Arial" w:eastAsia="Arial" w:hAnsi="Arial"/>
                <w:sz w:val="18"/>
                <w:szCs w:val="18"/>
                <w:i w:val="1"/>
                <w:iCs w:val="1"/>
                <w:color w:val="auto"/>
                <w:w w:val="91"/>
              </w:rPr>
              <w:t>As a percentage of maintenance</w:t>
            </w: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19 %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18 %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15 %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8"/>
                <w:szCs w:val="18"/>
                <w:i w:val="1"/>
                <w:iCs w:val="1"/>
                <w:color w:val="auto"/>
              </w:rPr>
              <w:t>and services revenue</w:t>
            </w: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1"/>
              </w:rPr>
              <w:t>As a percentage of total revenue</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Components of cost of</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8"/>
                <w:szCs w:val="18"/>
                <w:color w:val="auto"/>
              </w:rPr>
              <w:t>maintenance and services: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Personnel related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11,034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29,789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21,838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7,951</w:t>
            </w: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176"/>
        </w:trPr>
        <w:tc>
          <w:tcPr>
            <w:tcW w:w="2420" w:type="dxa"/>
            <w:vAlign w:val="bottom"/>
          </w:tcPr>
          <w:p>
            <w:pPr>
              <w:ind w:left="240"/>
              <w:spacing w:after="0" w:line="176" w:lineRule="exact"/>
              <w:rPr>
                <w:sz w:val="20"/>
                <w:szCs w:val="20"/>
                <w:color w:val="auto"/>
              </w:rPr>
            </w:pPr>
            <w:r>
              <w:rPr>
                <w:rFonts w:ascii="Arial" w:cs="Arial" w:eastAsia="Arial" w:hAnsi="Arial"/>
                <w:sz w:val="18"/>
                <w:szCs w:val="18"/>
                <w:color w:val="auto"/>
              </w:rPr>
              <w:t>Contractors and outside</w:t>
            </w:r>
          </w:p>
        </w:tc>
        <w:tc>
          <w:tcPr>
            <w:tcW w:w="300" w:type="dxa"/>
            <w:vAlign w:val="bottom"/>
          </w:tcPr>
          <w:p>
            <w:pPr>
              <w:spacing w:after="0"/>
              <w:rPr>
                <w:sz w:val="15"/>
                <w:szCs w:val="15"/>
                <w:color w:val="auto"/>
              </w:rPr>
            </w:pPr>
          </w:p>
        </w:tc>
        <w:tc>
          <w:tcPr>
            <w:tcW w:w="860" w:type="dxa"/>
            <w:vAlign w:val="bottom"/>
            <w:vMerge w:val="restart"/>
          </w:tcPr>
          <w:p>
            <w:pPr>
              <w:jc w:val="right"/>
              <w:ind w:right="110"/>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863</w:t>
            </w:r>
          </w:p>
        </w:tc>
        <w:tc>
          <w:tcPr>
            <w:tcW w:w="4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color w:val="auto"/>
              </w:rPr>
              <w:t>6,817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color w:val="auto"/>
              </w:rPr>
              <w:t>6,222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595</w:t>
            </w:r>
          </w:p>
        </w:tc>
        <w:tc>
          <w:tcPr>
            <w:tcW w:w="4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2420" w:type="dxa"/>
            <w:vAlign w:val="bottom"/>
          </w:tcPr>
          <w:p>
            <w:pPr>
              <w:ind w:left="24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Hosting and other</w:t>
            </w: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4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4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line="169" w:lineRule="exact"/>
              <w:rPr>
                <w:sz w:val="20"/>
                <w:szCs w:val="20"/>
                <w:color w:val="auto"/>
              </w:rPr>
            </w:pPr>
            <w:r>
              <w:rPr>
                <w:rFonts w:ascii="Arial" w:cs="Arial" w:eastAsia="Arial" w:hAnsi="Arial"/>
                <w:sz w:val="18"/>
                <w:szCs w:val="18"/>
                <w:color w:val="auto"/>
                <w:w w:val="98"/>
              </w:rPr>
              <w:t>Total cost of maintenance and</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10"/>
              <w:spacing w:after="0"/>
              <w:rPr>
                <w:sz w:val="20"/>
                <w:szCs w:val="20"/>
                <w:color w:val="auto"/>
              </w:rPr>
            </w:pPr>
            <w:r>
              <w:rPr>
                <w:rFonts w:ascii="Arial" w:cs="Arial" w:eastAsia="Arial" w:hAnsi="Arial"/>
                <w:sz w:val="18"/>
                <w:szCs w:val="18"/>
                <w:color w:val="auto"/>
              </w:rPr>
              <w:t>22,970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rPr>
              <w:t>15,801</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7,169</w:t>
            </w:r>
          </w:p>
        </w:tc>
        <w:tc>
          <w:tcPr>
            <w:tcW w:w="4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3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color w:val="auto"/>
              </w:rPr>
              <w:t>40,471</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color w:val="auto"/>
              </w:rPr>
              <w:t>30,946</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8"/>
              </w:rPr>
              <w:t>9,525</w:t>
            </w:r>
          </w:p>
        </w:tc>
        <w:tc>
          <w:tcPr>
            <w:tcW w:w="4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services</w:t>
            </w:r>
          </w:p>
        </w:tc>
        <w:tc>
          <w:tcPr>
            <w:tcW w:w="3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Cost of maintenance and services consists primarily of costs of providing customer support, consulting, and education. The increases in all periods were primarily due to increased headcount, contractor and outside services costs, and hosting costs resulting from our acquisition of MarkLogic.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ind w:left="800"/>
              <w:spacing w:after="0"/>
              <w:rPr>
                <w:sz w:val="20"/>
                <w:szCs w:val="20"/>
                <w:color w:val="auto"/>
              </w:rPr>
            </w:pPr>
            <w:r>
              <w:rPr>
                <w:rFonts w:ascii="Arial" w:cs="Arial" w:eastAsia="Arial" w:hAnsi="Arial"/>
                <w:sz w:val="18"/>
                <w:szCs w:val="18"/>
                <w:color w:val="auto"/>
                <w:w w:val="95"/>
              </w:rPr>
              <w:t>Three Months Ended</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3"/>
              </w:rPr>
              <w:t>Six Months Ended</w:t>
            </w:r>
          </w:p>
        </w:tc>
        <w:tc>
          <w:tcPr>
            <w:tcW w:w="1220" w:type="dxa"/>
            <w:vAlign w:val="bottom"/>
            <w:tcBorders>
              <w:bottom w:val="single" w:sz="8" w:color="auto"/>
            </w:tcBorders>
          </w:tcPr>
          <w:p>
            <w:pPr>
              <w:spacing w:after="0"/>
              <w:rPr>
                <w:sz w:val="20"/>
                <w:szCs w:val="20"/>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May 31, 2023</w:t>
            </w:r>
          </w:p>
        </w:tc>
        <w:tc>
          <w:tcPr>
            <w:tcW w:w="12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 Change</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2023</w:t>
            </w:r>
          </w:p>
        </w:tc>
        <w:tc>
          <w:tcPr>
            <w:tcW w:w="10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May 31, 2022</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Change</w:t>
            </w:r>
          </w:p>
        </w:tc>
      </w:tr>
      <w:tr>
        <w:trPr>
          <w:trHeight w:val="23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7,994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14,258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11,031</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of intangibles included in costs of revenue primarily represents the amortization of the value assigned to technology-related intangible assets obtained in business combinations. The increases in all periods are due to the acquisition of MarkLogic.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i w:val="1"/>
                <w:iCs w:val="1"/>
                <w:color w:val="auto"/>
              </w:rPr>
              <w:t>Gross Profit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67"/>
        </w:trPr>
        <w:tc>
          <w:tcPr>
            <w:tcW w:w="3360" w:type="dxa"/>
            <w:vAlign w:val="bottom"/>
          </w:tcPr>
          <w:p>
            <w:pPr>
              <w:spacing w:after="0"/>
              <w:rPr>
                <w:sz w:val="24"/>
                <w:szCs w:val="24"/>
                <w:color w:val="auto"/>
              </w:rPr>
            </w:pPr>
          </w:p>
        </w:tc>
        <w:tc>
          <w:tcPr>
            <w:tcW w:w="2800" w:type="dxa"/>
            <w:vAlign w:val="bottom"/>
            <w:tcBorders>
              <w:bottom w:val="single" w:sz="8" w:color="auto"/>
            </w:tcBorders>
            <w:gridSpan w:val="5"/>
          </w:tcPr>
          <w:p>
            <w:pPr>
              <w:ind w:left="1200"/>
              <w:spacing w:after="0"/>
              <w:rPr>
                <w:sz w:val="20"/>
                <w:szCs w:val="20"/>
                <w:color w:val="auto"/>
              </w:rPr>
            </w:pPr>
            <w:r>
              <w:rPr>
                <w:rFonts w:ascii="Arial" w:cs="Arial" w:eastAsia="Arial" w:hAnsi="Arial"/>
                <w:sz w:val="18"/>
                <w:szCs w:val="18"/>
                <w:color w:val="auto"/>
                <w:w w:val="93"/>
              </w:rPr>
              <w:t>Three Months Ended</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4"/>
              </w:rPr>
              <w:t>Six Months Ended</w:t>
            </w:r>
          </w:p>
        </w:tc>
        <w:tc>
          <w:tcPr>
            <w:tcW w:w="1220" w:type="dxa"/>
            <w:vAlign w:val="bottom"/>
            <w:tcBorders>
              <w:bottom w:val="single" w:sz="8" w:color="auto"/>
            </w:tcBorders>
          </w:tcPr>
          <w:p>
            <w:pPr>
              <w:spacing w:after="0"/>
              <w:rPr>
                <w:sz w:val="24"/>
                <w:szCs w:val="24"/>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color w:val="auto"/>
              </w:rPr>
              <w:t>May 31, 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May 31, 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Change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May 31, 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May 31, 2022</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Change</w:t>
            </w:r>
          </w:p>
        </w:tc>
      </w:tr>
      <w:tr>
        <w:trPr>
          <w:trHeight w:val="23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jc w:val="right"/>
              <w:ind w:right="145"/>
              <w:spacing w:after="0"/>
              <w:rPr>
                <w:sz w:val="20"/>
                <w:szCs w:val="20"/>
                <w:color w:val="auto"/>
              </w:rPr>
            </w:pPr>
            <w:r>
              <w:rPr>
                <w:rFonts w:ascii="Arial" w:cs="Arial" w:eastAsia="Arial" w:hAnsi="Arial"/>
                <w:sz w:val="18"/>
                <w:szCs w:val="18"/>
                <w:color w:val="auto"/>
                <w:w w:val="89"/>
              </w:rPr>
              <w:t>$144,473</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89"/>
              </w:rPr>
              <w:t>$124,790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16 %  $</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282,482</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9"/>
              </w:rPr>
              <w:t>$246,500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81 %</w:t>
            </w:r>
          </w:p>
        </w:tc>
        <w:tc>
          <w:tcPr>
            <w:tcW w:w="1320" w:type="dxa"/>
            <w:vAlign w:val="bottom"/>
            <w:gridSpan w:val="2"/>
          </w:tcPr>
          <w:p>
            <w:pPr>
              <w:jc w:val="right"/>
              <w:spacing w:after="0"/>
              <w:rPr>
                <w:sz w:val="20"/>
                <w:szCs w:val="20"/>
                <w:color w:val="auto"/>
              </w:rPr>
            </w:pPr>
            <w:r>
              <w:rPr>
                <w:rFonts w:ascii="Arial" w:cs="Arial" w:eastAsia="Arial" w:hAnsi="Arial"/>
                <w:sz w:val="18"/>
                <w:szCs w:val="18"/>
                <w:i w:val="1"/>
                <w:iCs w:val="1"/>
                <w:color w:val="auto"/>
              </w:rPr>
              <w:t>84 %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82 %</w:t>
            </w:r>
          </w:p>
        </w:tc>
        <w:tc>
          <w:tcPr>
            <w:tcW w:w="1320" w:type="dxa"/>
            <w:vAlign w:val="bottom"/>
            <w:gridSpan w:val="2"/>
          </w:tcPr>
          <w:p>
            <w:pPr>
              <w:jc w:val="right"/>
              <w:spacing w:after="0"/>
              <w:rPr>
                <w:sz w:val="20"/>
                <w:szCs w:val="20"/>
                <w:color w:val="auto"/>
              </w:rPr>
            </w:pPr>
            <w:r>
              <w:rPr>
                <w:rFonts w:ascii="Arial" w:cs="Arial" w:eastAsia="Arial" w:hAnsi="Arial"/>
                <w:sz w:val="18"/>
                <w:szCs w:val="18"/>
                <w:i w:val="1"/>
                <w:iCs w:val="1"/>
                <w:color w:val="auto"/>
              </w:rPr>
              <w:t>84 %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3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gross profit increased in all periods primarily due to the increases in revenue, offset by the increases in costs of software licenses, costs of maintenance and services and the amortization of intangibles, each as described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i w:val="1"/>
                <w:iCs w:val="1"/>
                <w:color w:val="auto"/>
              </w:rPr>
              <w:t>Sales and Marketing</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6"/>
        </w:trPr>
        <w:tc>
          <w:tcPr>
            <w:tcW w:w="2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Three Months Ended</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Six Months Ended</w:t>
            </w:r>
          </w:p>
        </w:tc>
        <w:tc>
          <w:tcPr>
            <w:tcW w:w="500" w:type="dxa"/>
            <w:vAlign w:val="bottom"/>
            <w:tcBorders>
              <w:bottom w:val="single" w:sz="8" w:color="auto"/>
            </w:tcBorders>
          </w:tcPr>
          <w:p>
            <w:pPr>
              <w:spacing w:after="0"/>
              <w:rPr>
                <w:sz w:val="22"/>
                <w:szCs w:val="22"/>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2023</w:t>
            </w: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May 31, 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w w:val="95"/>
              </w:rPr>
              <w:t>Change</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2023</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85"/>
              </w:rPr>
              <w:t>Change</w:t>
            </w:r>
          </w:p>
        </w:tc>
        <w:tc>
          <w:tcPr>
            <w:tcW w:w="500" w:type="dxa"/>
            <w:vAlign w:val="bottom"/>
            <w:tcBorders>
              <w:bottom w:val="single" w:sz="8" w:color="auto"/>
            </w:tcBorders>
          </w:tcPr>
          <w:p>
            <w:pPr>
              <w:spacing w:after="0"/>
              <w:rPr>
                <w:sz w:val="19"/>
                <w:szCs w:val="19"/>
                <w:color w:val="auto"/>
              </w:rPr>
            </w:pPr>
          </w:p>
        </w:tc>
      </w:tr>
      <w:tr>
        <w:trPr>
          <w:trHeight w:val="237"/>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40,147</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32,704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3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73,901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66,173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Components of sales and marketing: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7"/>
        </w:trPr>
        <w:tc>
          <w:tcPr>
            <w:tcW w:w="2920" w:type="dxa"/>
            <w:vAlign w:val="bottom"/>
          </w:tcPr>
          <w:p>
            <w:pPr>
              <w:ind w:left="240"/>
              <w:spacing w:after="0"/>
              <w:rPr>
                <w:sz w:val="20"/>
                <w:szCs w:val="20"/>
                <w:color w:val="auto"/>
              </w:rPr>
            </w:pPr>
            <w:r>
              <w:rPr>
                <w:rFonts w:ascii="Arial" w:cs="Arial" w:eastAsia="Arial" w:hAnsi="Arial"/>
                <w:sz w:val="18"/>
                <w:szCs w:val="18"/>
                <w:color w:val="auto"/>
              </w:rPr>
              <w:t>Personnel related costs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34,329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27,755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6,574</w:t>
            </w: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24 %</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64,324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56,151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8,173</w:t>
            </w: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6"/>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Contractors and outside services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2920" w:type="dxa"/>
            <w:vAlign w:val="bottom"/>
          </w:tcPr>
          <w:p>
            <w:pPr>
              <w:ind w:left="240"/>
              <w:spacing w:after="0"/>
              <w:rPr>
                <w:sz w:val="20"/>
                <w:szCs w:val="20"/>
                <w:color w:val="auto"/>
              </w:rPr>
            </w:pPr>
            <w:r>
              <w:rPr>
                <w:rFonts w:ascii="Arial" w:cs="Arial" w:eastAsia="Arial" w:hAnsi="Arial"/>
                <w:sz w:val="18"/>
                <w:szCs w:val="18"/>
                <w:color w:val="auto"/>
              </w:rPr>
              <w:t>Marketing programs and other</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7,371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(1,072)</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(13)%</w:t>
            </w:r>
          </w:p>
        </w:tc>
      </w:tr>
      <w:tr>
        <w:trPr>
          <w:trHeight w:val="237"/>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40,147</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32,704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3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73,901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66,173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31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Sales and marketing expenses increased in all periods primarily due to increased personnel related costs associated with our acquisition of MarkLogic, as well as increases in contractors and outside services costs. These increases were partially offset by decreases in marketing and sales events costs in the first six months of fiscal year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i w:val="1"/>
                <w:iCs w:val="1"/>
                <w:color w:val="auto"/>
              </w:rPr>
              <w:t>Product Development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506"/>
        </w:trPr>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color w:val="auto"/>
              </w:rPr>
              <w:t>Three Months Ended</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Six Months Ended</w:t>
            </w: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3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w w:val="95"/>
              </w:rPr>
              <w:t>Change</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May 31, 2023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1"/>
              </w:rPr>
              <w:t>Change</w:t>
            </w:r>
          </w:p>
        </w:tc>
        <w:tc>
          <w:tcPr>
            <w:tcW w:w="460" w:type="dxa"/>
            <w:vAlign w:val="bottom"/>
            <w:tcBorders>
              <w:bottom w:val="single" w:sz="8" w:color="auto"/>
            </w:tcBorders>
          </w:tcPr>
          <w:p>
            <w:pPr>
              <w:spacing w:after="0"/>
              <w:rPr>
                <w:sz w:val="19"/>
                <w:szCs w:val="19"/>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costs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28,643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65,258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57,316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7,942</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182"/>
        </w:trPr>
        <w:tc>
          <w:tcPr>
            <w:tcW w:w="29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Components of product development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37"/>
        </w:trPr>
        <w:tc>
          <w:tcPr>
            <w:tcW w:w="2940" w:type="dxa"/>
            <w:vAlign w:val="bottom"/>
          </w:tcPr>
          <w:p>
            <w:pPr>
              <w:ind w:left="240"/>
              <w:spacing w:after="0"/>
              <w:rPr>
                <w:sz w:val="20"/>
                <w:szCs w:val="20"/>
                <w:color w:val="auto"/>
              </w:rPr>
            </w:pPr>
            <w:r>
              <w:rPr>
                <w:rFonts w:ascii="Arial" w:cs="Arial" w:eastAsia="Arial" w:hAnsi="Arial"/>
                <w:sz w:val="18"/>
                <w:szCs w:val="18"/>
                <w:color w:val="auto"/>
              </w:rPr>
              <w:t>Personnel related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33,516</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27,754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5,762</w:t>
            </w: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21 %</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63,119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55,233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7,886</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6"/>
        </w:trPr>
        <w:tc>
          <w:tcPr>
            <w:tcW w:w="2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Contractors and outside services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2940" w:type="dxa"/>
            <w:vAlign w:val="bottom"/>
          </w:tcPr>
          <w:p>
            <w:pPr>
              <w:ind w:left="240"/>
              <w:spacing w:after="0"/>
              <w:rPr>
                <w:sz w:val="20"/>
                <w:szCs w:val="20"/>
                <w:color w:val="auto"/>
              </w:rPr>
            </w:pPr>
            <w:r>
              <w:rPr>
                <w:rFonts w:ascii="Arial" w:cs="Arial" w:eastAsia="Arial" w:hAnsi="Arial"/>
                <w:sz w:val="18"/>
                <w:szCs w:val="18"/>
                <w:color w:val="auto"/>
              </w:rPr>
              <w:t>Other product development costs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(7)</w:t>
            </w: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6"/>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development costs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34,820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28,643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3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65,258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57,316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7,942</w:t>
            </w: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bl>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Product development expenses increased in all periods primarily due to increased personnel related costs associated with our acquisition of MarkLogic, as well as an increase in contractors and outside services costs.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i w:val="1"/>
                <w:iCs w:val="1"/>
                <w:color w:val="auto"/>
              </w:rPr>
              <w:t>General and Administrative</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Three Months Ended</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Six Months Ended</w:t>
            </w: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2023</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May 31, 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w w:val="88"/>
              </w:rPr>
              <w:t>Change</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2023</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May 31, 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5"/>
              </w:rPr>
              <w:t>Change</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4,057</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Components of general and</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40"/>
              <w:spacing w:after="0"/>
              <w:rPr>
                <w:sz w:val="20"/>
                <w:szCs w:val="20"/>
                <w:color w:val="auto"/>
              </w:rPr>
            </w:pPr>
            <w:r>
              <w:rPr>
                <w:rFonts w:ascii="Arial" w:cs="Arial" w:eastAsia="Arial" w:hAnsi="Arial"/>
                <w:sz w:val="18"/>
                <w:szCs w:val="18"/>
                <w:color w:val="auto"/>
              </w:rPr>
              <w:t>Personnel related costs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17,142</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15,751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1,391</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9 %</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33,276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29,803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3,473</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Contractors and outside services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3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1,350</w:t>
            </w:r>
          </w:p>
        </w:tc>
        <w:tc>
          <w:tcPr>
            <w:tcW w:w="3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6"/>
        </w:trPr>
        <w:tc>
          <w:tcPr>
            <w:tcW w:w="2920" w:type="dxa"/>
            <w:vAlign w:val="bottom"/>
          </w:tcPr>
          <w:p>
            <w:pPr>
              <w:ind w:left="240"/>
              <w:spacing w:after="0" w:line="176" w:lineRule="exact"/>
              <w:rPr>
                <w:sz w:val="20"/>
                <w:szCs w:val="20"/>
                <w:color w:val="auto"/>
              </w:rPr>
            </w:pPr>
            <w:r>
              <w:rPr>
                <w:rFonts w:ascii="Arial" w:cs="Arial" w:eastAsia="Arial" w:hAnsi="Arial"/>
                <w:sz w:val="18"/>
                <w:szCs w:val="18"/>
                <w:color w:val="auto"/>
              </w:rPr>
              <w:t>Other general and administrative</w:t>
            </w:r>
          </w:p>
        </w:tc>
        <w:tc>
          <w:tcPr>
            <w:tcW w:w="280" w:type="dxa"/>
            <w:vAlign w:val="bottom"/>
          </w:tcPr>
          <w:p>
            <w:pPr>
              <w:spacing w:after="0"/>
              <w:rPr>
                <w:sz w:val="15"/>
                <w:szCs w:val="15"/>
                <w:color w:val="auto"/>
              </w:rPr>
            </w:pP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95"/>
              </w:rPr>
              <w:t>(13)%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ind w:right="11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(766)</w:t>
            </w:r>
          </w:p>
        </w:tc>
        <w:tc>
          <w:tcPr>
            <w:tcW w:w="3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cost of 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4,057</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General and administrative expenses include the costs of our finance, human resources, legal, information systems and administrative departments. General and administrative expenses increased in all periods primarily due to higher personnel costs associated with our acquisition of MarkLogic, as well as an increase in contractors and outside services costs, partially offset by a decrease in other general and administrative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i w:val="1"/>
                <w:iCs w:val="1"/>
                <w:color w:val="auto"/>
              </w:rPr>
              <w:t>Amortization of Intangibles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6"/>
        </w:trPr>
        <w:tc>
          <w:tcPr>
            <w:tcW w:w="3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color w:val="auto"/>
                <w:w w:val="95"/>
              </w:rPr>
              <w:t>Three Months Ended</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3"/>
              </w:rPr>
              <w:t>Six Months Ended</w:t>
            </w:r>
          </w:p>
        </w:tc>
        <w:tc>
          <w:tcPr>
            <w:tcW w:w="1220" w:type="dxa"/>
            <w:vAlign w:val="bottom"/>
            <w:tcBorders>
              <w:bottom w:val="single" w:sz="8" w:color="auto"/>
            </w:tcBorders>
          </w:tcPr>
          <w:p>
            <w:pPr>
              <w:spacing w:after="0"/>
              <w:rPr>
                <w:sz w:val="22"/>
                <w:szCs w:val="22"/>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2023</w:t>
            </w:r>
          </w:p>
        </w:tc>
        <w:tc>
          <w:tcPr>
            <w:tcW w:w="12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 Change</w:t>
            </w:r>
          </w:p>
        </w:tc>
        <w:tc>
          <w:tcPr>
            <w:tcW w:w="10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8"/>
              </w:rPr>
              <w:t>May 31, 2023</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2022</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Change</w:t>
            </w:r>
          </w:p>
        </w:tc>
      </w:tr>
      <w:tr>
        <w:trPr>
          <w:trHeight w:val="237"/>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17,546</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31,157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23,614</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8 %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3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Amortization of intangibles included in operating expenses primarily represents the amortization of value assigned to intangible assets obtained in business combinations other than assets identified as purchased technology. Amortization of intangibles increased due to the addition of MarkLogic intangible assets, as discussed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 Incident and Vulnerability Response Expenses, Net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ind w:left="1020"/>
              <w:spacing w:after="0"/>
              <w:rPr>
                <w:sz w:val="20"/>
                <w:szCs w:val="20"/>
                <w:color w:val="auto"/>
              </w:rPr>
            </w:pPr>
            <w:r>
              <w:rPr>
                <w:rFonts w:ascii="Arial" w:cs="Arial" w:eastAsia="Arial" w:hAnsi="Arial"/>
                <w:sz w:val="18"/>
                <w:szCs w:val="18"/>
                <w:color w:val="auto"/>
                <w:w w:val="93"/>
              </w:rPr>
              <w:t>Three Months Ended</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Six Months Ended</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May 31, 2023</w:t>
            </w:r>
          </w:p>
        </w:tc>
        <w:tc>
          <w:tcPr>
            <w:tcW w:w="120" w:type="dxa"/>
            <w:vAlign w:val="bottom"/>
          </w:tcPr>
          <w:p>
            <w:pPr>
              <w:spacing w:after="0"/>
              <w:rPr>
                <w:sz w:val="19"/>
                <w:szCs w:val="19"/>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8"/>
              </w:rPr>
              <w:t>May 31, 2022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Change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May 31, 2023</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8"/>
              </w:rPr>
              <w:t>May 31, 2022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Cyber incident and vulnerability response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1,483</w:t>
            </w:r>
          </w:p>
        </w:tc>
        <w:tc>
          <w:tcPr>
            <w:tcW w:w="580" w:type="dxa"/>
            <w:vAlign w:val="bottom"/>
            <w:gridSpan w:val="2"/>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4,175</w:t>
            </w:r>
          </w:p>
        </w:tc>
        <w:tc>
          <w:tcPr>
            <w:tcW w:w="560" w:type="dxa"/>
            <w:vAlign w:val="bottom"/>
            <w:gridSpan w:val="2"/>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net</w:t>
            </w:r>
          </w:p>
        </w:tc>
        <w:tc>
          <w:tcPr>
            <w:tcW w:w="1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580" w:type="dxa"/>
            <w:vAlign w:val="bottom"/>
            <w:gridSpan w:val="2"/>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1260" w:type="dxa"/>
            <w:vAlign w:val="bottom"/>
            <w:gridSpan w:val="3"/>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3"/>
          </w:tcPr>
          <w:p>
            <w:pPr>
              <w:ind w:left="360"/>
              <w:spacing w:after="0"/>
              <w:rPr>
                <w:sz w:val="20"/>
                <w:szCs w:val="20"/>
                <w:color w:val="auto"/>
              </w:rPr>
            </w:pPr>
            <w:r>
              <w:rPr>
                <w:rFonts w:ascii="Arial" w:cs="Arial" w:eastAsia="Arial" w:hAnsi="Arial"/>
                <w:sz w:val="18"/>
                <w:szCs w:val="18"/>
                <w:i w:val="1"/>
                <w:iCs w:val="1"/>
                <w:color w:val="auto"/>
              </w:rPr>
              <w:t>— %</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i w:val="1"/>
                <w:iCs w:val="1"/>
                <w:color w:val="auto"/>
              </w:rPr>
              <w:t>— %</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previously disclosed on December 19, 2022, following the detection of irregular activity on certain portions of our corporate network, we engaged outside cybersecurity experts and other incident response professionals to conduct a forensic investigation and assess the extent and scope of the cyber incident. Cyber incident costs relate to the engagement of external cybersecurity experts and other incident response professionals and are net of received and expected insurance recoveries.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i w:val="1"/>
                <w:iCs w:val="1"/>
                <w:color w:val="auto"/>
              </w:rPr>
              <w:t>Restructuring Expenses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35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color w:val="auto"/>
                <w:w w:val="95"/>
              </w:rPr>
              <w:t>Three Months Ended</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Six Months Ended</w:t>
            </w:r>
          </w:p>
        </w:tc>
        <w:tc>
          <w:tcPr>
            <w:tcW w:w="1260" w:type="dxa"/>
            <w:vAlign w:val="bottom"/>
            <w:tcBorders>
              <w:bottom w:val="single" w:sz="8" w:color="auto"/>
            </w:tcBorders>
          </w:tcPr>
          <w:p>
            <w:pPr>
              <w:spacing w:after="0"/>
              <w:rPr>
                <w:sz w:val="22"/>
                <w:szCs w:val="22"/>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May 31, 2023</w:t>
            </w:r>
          </w:p>
        </w:tc>
        <w:tc>
          <w:tcPr>
            <w:tcW w:w="100" w:type="dxa"/>
            <w:vAlign w:val="bottom"/>
          </w:tcPr>
          <w:p>
            <w:pPr>
              <w:spacing w:after="0"/>
              <w:rPr>
                <w:sz w:val="20"/>
                <w:szCs w:val="20"/>
                <w:color w:val="auto"/>
              </w:rPr>
            </w:pPr>
          </w:p>
        </w:tc>
        <w:tc>
          <w:tcPr>
            <w:tcW w:w="1420" w:type="dxa"/>
            <w:vAlign w:val="bottom"/>
            <w:gridSpan w:val="4"/>
          </w:tcPr>
          <w:p>
            <w:pPr>
              <w:ind w:left="100"/>
              <w:spacing w:after="0"/>
              <w:rPr>
                <w:sz w:val="20"/>
                <w:szCs w:val="20"/>
                <w:color w:val="auto"/>
              </w:rPr>
            </w:pPr>
            <w:r>
              <w:rPr>
                <w:rFonts w:ascii="Arial" w:cs="Arial" w:eastAsia="Arial" w:hAnsi="Arial"/>
                <w:sz w:val="18"/>
                <w:szCs w:val="18"/>
                <w:color w:val="auto"/>
              </w:rPr>
              <w:t>May 31, 2022</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95"/>
              </w:rPr>
              <w:t>% Change</w:t>
            </w:r>
          </w:p>
        </w:tc>
        <w:tc>
          <w:tcPr>
            <w:tcW w:w="10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May 31, 2023</w:t>
            </w:r>
          </w:p>
        </w:tc>
        <w:tc>
          <w:tcPr>
            <w:tcW w:w="10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May 31, 2022</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 Change</w:t>
            </w:r>
          </w:p>
        </w:tc>
      </w:tr>
      <w:tr>
        <w:trPr>
          <w:trHeight w:val="22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3,990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5,387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724 %</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i w:val="1"/>
                <w:iCs w:val="1"/>
                <w:color w:val="auto"/>
              </w:rPr>
              <w:t>— %</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i w:val="1"/>
                <w:iCs w:val="1"/>
                <w:color w:val="auto"/>
              </w:rPr>
              <w:t>— %</w:t>
            </w:r>
          </w:p>
        </w:tc>
        <w:tc>
          <w:tcPr>
            <w:tcW w:w="1260" w:type="dxa"/>
            <w:vAlign w:val="bottom"/>
          </w:tcPr>
          <w:p>
            <w:pPr>
              <w:spacing w:after="0"/>
              <w:rPr>
                <w:sz w:val="20"/>
                <w:szCs w:val="20"/>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Restructuring expenses recorded in the second fiscal quarter and six month period of fiscal year 2023 relate to the restructuring activities that occurred in the first and fourth quarters of fiscal years 2023 and 2020, respectively, resulting from the acquisitions of MarkLogic and Chef, respectively. Restructuring expenses recorded in the second quarter of fiscal year 2022 are comprised mostly of costs related to the acquisition of Kemp and the Chef restructuring action of 2020. See the Liquidity and Capital Resources section of this Item 2, Management’s Discussion and Analysis of Financial Condition and Results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i w:val="1"/>
                <w:iCs w:val="1"/>
                <w:color w:val="auto"/>
              </w:rPr>
              <w:t>Acquisition-Related Expenses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61"/>
        </w:trPr>
        <w:tc>
          <w:tcPr>
            <w:tcW w:w="3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ind w:left="820"/>
              <w:spacing w:after="0"/>
              <w:rPr>
                <w:sz w:val="20"/>
                <w:szCs w:val="20"/>
                <w:color w:val="auto"/>
              </w:rPr>
            </w:pPr>
            <w:r>
              <w:rPr>
                <w:rFonts w:ascii="Arial" w:cs="Arial" w:eastAsia="Arial" w:hAnsi="Arial"/>
                <w:sz w:val="18"/>
                <w:szCs w:val="18"/>
                <w:color w:val="auto"/>
                <w:w w:val="93"/>
              </w:rPr>
              <w:t>Three Months Ended</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1"/>
              </w:rPr>
              <w:t>Six Months Ended</w:t>
            </w:r>
          </w:p>
        </w:tc>
        <w:tc>
          <w:tcPr>
            <w:tcW w:w="1240" w:type="dxa"/>
            <w:vAlign w:val="bottom"/>
            <w:tcBorders>
              <w:bottom w:val="single" w:sz="8" w:color="auto"/>
            </w:tcBorders>
          </w:tcPr>
          <w:p>
            <w:pPr>
              <w:spacing w:after="0"/>
              <w:rPr>
                <w:sz w:val="24"/>
                <w:szCs w:val="24"/>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2023</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 Change</w:t>
            </w:r>
          </w:p>
        </w:tc>
        <w:tc>
          <w:tcPr>
            <w:tcW w:w="12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2023</w:t>
            </w:r>
          </w:p>
        </w:tc>
        <w:tc>
          <w:tcPr>
            <w:tcW w:w="100" w:type="dxa"/>
            <w:vAlign w:val="bottom"/>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May 31, 2022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Change</w:t>
            </w: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1,991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32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Acquisition-related costs are expensed as incurred and include those costs incurred as a result of a business combination. These costs consist of professional service fees, including third-party legal and valuation-related fees. Acquisition-related expenses increased due to our acquisition of MarkLogic, as well as our pursuit of other acquisition opportunities. Acquisition-related expenses in the same periods of fiscal year 2022 were primarily related to our pursuit of other acquisition opportunities, as well as the acquisition of Kemp.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i w:val="1"/>
                <w:iCs w:val="1"/>
                <w:color w:val="auto"/>
              </w:rPr>
              <w:t>Gain on Sale of Assets Held for Sale</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07"/>
        </w:trPr>
        <w:tc>
          <w:tcPr>
            <w:tcW w:w="3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Three Months Ended</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1"/>
              </w:rPr>
              <w:t>Six Months Ended</w:t>
            </w:r>
          </w:p>
        </w:tc>
        <w:tc>
          <w:tcPr>
            <w:tcW w:w="1240" w:type="dxa"/>
            <w:vAlign w:val="bottom"/>
            <w:tcBorders>
              <w:bottom w:val="single" w:sz="8" w:color="auto"/>
            </w:tcBorders>
          </w:tcPr>
          <w:p>
            <w:pPr>
              <w:spacing w:after="0"/>
              <w:rPr>
                <w:sz w:val="24"/>
                <w:szCs w:val="24"/>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7"/>
              </w:rPr>
              <w:t>May 31, 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May 31, 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 Change</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7"/>
              </w:rPr>
              <w:t>May 31, 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May 31, 2022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Change</w:t>
            </w: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 held for sale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(10,770)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0"/>
                <w:szCs w:val="20"/>
                <w:color w:val="auto"/>
              </w:rPr>
            </w:pPr>
          </w:p>
        </w:tc>
        <w:tc>
          <w:tcPr>
            <w:tcW w:w="720" w:type="dxa"/>
            <w:vAlign w:val="bottom"/>
          </w:tcPr>
          <w:p>
            <w:pPr>
              <w:ind w:left="360"/>
              <w:spacing w:after="0"/>
              <w:rPr>
                <w:sz w:val="20"/>
                <w:szCs w:val="20"/>
                <w:color w:val="auto"/>
              </w:rPr>
            </w:pPr>
            <w:r>
              <w:rPr>
                <w:rFonts w:ascii="Arial" w:cs="Arial" w:eastAsia="Arial" w:hAnsi="Arial"/>
                <w:sz w:val="18"/>
                <w:szCs w:val="18"/>
                <w:i w:val="1"/>
                <w:iCs w:val="1"/>
                <w:color w:val="auto"/>
                <w:w w:val="87"/>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ind w:left="340"/>
              <w:spacing w:after="0"/>
              <w:rPr>
                <w:sz w:val="20"/>
                <w:szCs w:val="20"/>
                <w:color w:val="auto"/>
              </w:rPr>
            </w:pPr>
            <w:r>
              <w:rPr>
                <w:rFonts w:ascii="Arial" w:cs="Arial" w:eastAsia="Arial" w:hAnsi="Arial"/>
                <w:sz w:val="18"/>
                <w:szCs w:val="18"/>
                <w:i w:val="1"/>
                <w:iCs w:val="1"/>
                <w:color w:val="auto"/>
                <w:w w:val="92"/>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32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second quarter of fiscal year 2022, we sold corporate land and building assets previously reported as assets held for sale on our consolidated balance sheet. As the sale price less cost to sell was greater than the carrying value of these assets we recognized a net gain on the sale of approximately $10.8 million in the second quarter of fiscal year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color w:val="auto"/>
                <w:w w:val="90"/>
              </w:rPr>
              <w:t>Three Months Ended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Six Months Ended</w:t>
            </w:r>
          </w:p>
        </w:tc>
        <w:tc>
          <w:tcPr>
            <w:tcW w:w="1220" w:type="dxa"/>
            <w:vAlign w:val="bottom"/>
            <w:tcBorders>
              <w:bottom w:val="single" w:sz="8" w:color="auto"/>
            </w:tcBorders>
          </w:tcPr>
          <w:p>
            <w:pPr>
              <w:spacing w:after="0"/>
              <w:rPr>
                <w:sz w:val="20"/>
                <w:szCs w:val="20"/>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May 31, 2023</w:t>
            </w:r>
          </w:p>
        </w:tc>
        <w:tc>
          <w:tcPr>
            <w:tcW w:w="100" w:type="dxa"/>
            <w:vAlign w:val="bottom"/>
          </w:tcPr>
          <w:p>
            <w:pPr>
              <w:spacing w:after="0"/>
              <w:rPr>
                <w:sz w:val="20"/>
                <w:szCs w:val="20"/>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May 31, 2022</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7"/>
              </w:rPr>
              <w:t>% Change</w:t>
            </w:r>
          </w:p>
        </w:tc>
        <w:tc>
          <w:tcPr>
            <w:tcW w:w="100" w:type="dxa"/>
            <w:vAlign w:val="bottom"/>
          </w:tcPr>
          <w:p>
            <w:pPr>
              <w:spacing w:after="0"/>
              <w:rPr>
                <w:sz w:val="20"/>
                <w:szCs w:val="20"/>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May 31, 2023</w:t>
            </w:r>
          </w:p>
        </w:tc>
        <w:tc>
          <w:tcPr>
            <w:tcW w:w="10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May 31, 2022</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 Change</w:t>
            </w: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23,027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40,235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58,615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69,667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Income from operations decreased in the second quarter of and first six months of fiscal year 2023 due to an increase in costs of revenue and operating expenses, offset by increased revenue, as shown above.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i w:val="1"/>
                <w:iCs w:val="1"/>
                <w:color w:val="auto"/>
              </w:rPr>
              <w:t>Other (Expense) Income, Net</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67"/>
        </w:trPr>
        <w:tc>
          <w:tcPr>
            <w:tcW w:w="3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color w:val="auto"/>
                <w:w w:val="95"/>
              </w:rPr>
              <w:t>Three Months Ended</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3"/>
              </w:rPr>
              <w:t>Six Months Ended</w:t>
            </w:r>
          </w:p>
        </w:tc>
        <w:tc>
          <w:tcPr>
            <w:tcW w:w="1220" w:type="dxa"/>
            <w:vAlign w:val="bottom"/>
            <w:tcBorders>
              <w:bottom w:val="single" w:sz="8" w:color="auto"/>
            </w:tcBorders>
          </w:tcPr>
          <w:p>
            <w:pPr>
              <w:spacing w:after="0"/>
              <w:rPr>
                <w:sz w:val="24"/>
                <w:szCs w:val="24"/>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8"/>
              </w:rPr>
              <w:t>May 31, 2023</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 Change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May 31, 2023</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2022</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Change</w:t>
            </w:r>
          </w:p>
        </w:tc>
      </w:tr>
      <w:tr>
        <w:trPr>
          <w:trHeight w:val="23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(8,514)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(14,362)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(7,359)</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3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loss, net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(8,418)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(14,082)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(6,870)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224"/>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Other expense, net, increased in both periods shown primarily due to increased interest expense on our term loan and our revolving line of credit, which we drew on to fund part of our acquisition of MarkLogic. Interest income and other, net increased due to the our acquisition of MarkLogic. Foreign currency</w:t>
      </w: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loss increased in all periods shown.</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20" w:type="dxa"/>
            <w:vAlign w:val="bottom"/>
          </w:tcPr>
          <w:p>
            <w:pPr>
              <w:spacing w:after="0"/>
              <w:rPr>
                <w:sz w:val="20"/>
                <w:szCs w:val="20"/>
                <w:color w:val="auto"/>
              </w:rPr>
            </w:pPr>
            <w:r>
              <w:rPr>
                <w:rFonts w:ascii="Arial" w:cs="Arial" w:eastAsia="Arial" w:hAnsi="Arial"/>
                <w:sz w:val="18"/>
                <w:szCs w:val="18"/>
                <w:i w:val="1"/>
                <w:iCs w:val="1"/>
                <w:color w:val="auto"/>
              </w:rPr>
              <w:t>Provision for Income Taxes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color w:val="auto"/>
                <w:w w:val="90"/>
              </w:rPr>
              <w:t>Three Months Ended</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Six Months Ended</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May 31, 2023</w:t>
            </w:r>
          </w:p>
        </w:tc>
        <w:tc>
          <w:tcPr>
            <w:tcW w:w="120" w:type="dxa"/>
            <w:vAlign w:val="bottom"/>
          </w:tcPr>
          <w:p>
            <w:pPr>
              <w:spacing w:after="0"/>
              <w:rPr>
                <w:sz w:val="20"/>
                <w:szCs w:val="20"/>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May 31, 2022</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5"/>
              </w:rPr>
              <w:t>% Change</w:t>
            </w:r>
          </w:p>
        </w:tc>
        <w:tc>
          <w:tcPr>
            <w:tcW w:w="100" w:type="dxa"/>
            <w:vAlign w:val="bottom"/>
          </w:tcPr>
          <w:p>
            <w:pPr>
              <w:spacing w:after="0"/>
              <w:rPr>
                <w:sz w:val="20"/>
                <w:szCs w:val="20"/>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May 31, 2023</w:t>
            </w:r>
          </w:p>
        </w:tc>
        <w:tc>
          <w:tcPr>
            <w:tcW w:w="10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May 31, 2022</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2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2,519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7,735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13,233</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6"/>
        </w:trPr>
        <w:tc>
          <w:tcPr>
            <w:tcW w:w="34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As a percentage of income before income</w:t>
            </w: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17 %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21 %</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i w:val="1"/>
                <w:iCs w:val="1"/>
                <w:color w:val="auto"/>
              </w:rPr>
              <w:t>taxes</w:t>
            </w:r>
          </w:p>
        </w:tc>
        <w:tc>
          <w:tcPr>
            <w:tcW w:w="3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Our effective tax rate was 17% and 21% for the three months ended May 31, 2023 and 2022 respectively. The primary reason for the decrease in the effective rate was due to discrete tax benefits related to stock-based compensation and an audit settlement in the second fiscal quarter of 2023. There were no significant discrete tax items in the second fiscal quarter of 2022.</w:t>
      </w:r>
    </w:p>
    <w:p>
      <w:pPr>
        <w:spacing w:after="0" w:line="20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effective tax rate was 20% and 21% for the six months ended May 31, 2023 and 2022 respectively. The primary reason for the decrease in the effective rate was due to discrete tax benefits related to stock-based compensation and an audit settlement in the second fiscal quarter of 2023. There were no significant discrete tax items in the six months ended May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i w:val="1"/>
                <w:iCs w:val="1"/>
                <w:color w:val="auto"/>
              </w:rPr>
              <w:t>Net Income</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3"/>
        </w:trPr>
        <w:tc>
          <w:tcPr>
            <w:tcW w:w="3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color w:val="auto"/>
                <w:w w:val="93"/>
              </w:rPr>
              <w:t>Three Months Ended</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3"/>
              </w:rPr>
              <w:t>Six Months Ended</w:t>
            </w:r>
          </w:p>
        </w:tc>
        <w:tc>
          <w:tcPr>
            <w:tcW w:w="1220" w:type="dxa"/>
            <w:vAlign w:val="bottom"/>
            <w:tcBorders>
              <w:bottom w:val="single" w:sz="8" w:color="auto"/>
            </w:tcBorders>
          </w:tcPr>
          <w:p>
            <w:pPr>
              <w:spacing w:after="0"/>
              <w:rPr>
                <w:sz w:val="22"/>
                <w:szCs w:val="22"/>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May 31, 2023</w:t>
            </w:r>
          </w:p>
        </w:tc>
        <w:tc>
          <w:tcPr>
            <w:tcW w:w="10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8"/>
              </w:rPr>
              <w:t>May 31, 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 Change</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May 31, 2023</w:t>
            </w:r>
          </w:p>
        </w:tc>
        <w:tc>
          <w:tcPr>
            <w:tcW w:w="10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May 31, 2022</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Change</w:t>
            </w: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12,090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35,764</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49,564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Performance Metrics:</w:t>
      </w:r>
    </w:p>
    <w:p>
      <w:pPr>
        <w:spacing w:after="0" w:line="2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Management evaluates our financial performance using a number of financial and operating metrics. These metrics are periodically reviewed and revised to reflect changes in our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3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are providing an ARR performance metric to help investors better understand and assess the performance of our business because our mix of revenue generated from recurring sources has increased in recent years. ARR represents the annualized contract value for all active and contractually binding term-based contracts at the end of a period. ARR includes maintenance, software upgrade rights, both public and dedicated cloud instances and on-premises subscription-based transactions and managed services. ARR mitigates fluctuations due to seasonality, contract term and the sales mix of subscriptions for term-based licenses and SaaS. ARR is not calculated in accordance with GAAP.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20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define ARR as the annual recurring revenue of term-based contracts from all customers at a point in time. We calculate ARR by taking monthly recurring revenue, or MRR, and multiplying it by 12. MRR for each month is calculated by aggregating, for all customers during that month, monthly revenue from committed contractual amounts, additional usage and monthly subscriptions. The calculation is done at constant currency using the current year budgeted exchange rates for all periods presented.</w:t>
      </w:r>
    </w:p>
    <w:p>
      <w:pPr>
        <w:spacing w:after="0" w:line="21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ARR was $569.0 million and $479.0 million as of May 31, 2023 and 2022, respectively, which is an increase of 19% year-over-year. The growth in our ARR is primarily driven by the acquisition of MarkLogic.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 Rate</w:t>
      </w:r>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w:t>
      </w:r>
    </w:p>
    <w:p>
      <w:pPr>
        <w:spacing w:after="0" w:line="17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net retention rates have generally ranged between 101% and 102% for all periods presented. Our high net retention rates illustrate our predictable and durable top line performance.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i w:val="1"/>
                <w:iCs w:val="1"/>
                <w:color w:val="auto"/>
              </w:rPr>
              <w:t>Cash and Cash Equivalents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4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May 31, 2023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November 30, 2022</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256,277</w:t>
            </w:r>
          </w:p>
        </w:tc>
      </w:tr>
    </w:tbl>
    <w:p>
      <w:pPr>
        <w:spacing w:after="0" w:line="31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decrease in cash and cash equivalents of $130.7 million from the end of fiscal year 2022 was due to cash outflows of $356.1 million for cash paid for acquisitions, net of cash acquired, repurchases of common stock of $30.0 million, repayment of the revolving line of credit of $25.0 million, dividend payments of $15.9 million, payments of debt obligations of $3.4 million, and purchases of property and equipment of $2.0 million. These cash outflows were offset by proceeds from the issuance of debt of $195.0 million, cash inflows from operations of $94.7 million, $8.3 million in cash received from the issuance of common stock, and the effect of exchange rates on cash of $3.2 million. Except as described below, there are no limitations on our ability to access our cash and cash equivalents.</w:t>
      </w:r>
    </w:p>
    <w:p>
      <w:pPr>
        <w:spacing w:after="0" w:line="20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As of May 31, 2023, $77.1 million of our cash and cash equivalents was held by our foreign subsidiaries. Foreign cash includes unremitted foreign earnings, which are invested indefinitely outside of the U.S. As such, it is not available to fund our domestic operations. If we were to repatriate these earnings, we may be subject to income tax withholding in certain tax jurisdictions and a portion of the repatriated earnings may be subject to U.S. income tax. However, we do not anticipate that this would have a material adverse impact on our liquidity.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2023, our Board of Directors increased our share repurchase authorization by $150 million, to an aggregate authorization of $228.0 million.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six months ended May 31, 2023 and May 31, 2022, we repurchased and retired 0.5 million shares for $30.0 million and 1.1 million shares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$51.5 million, respectively. The shares were repurchased in both periods as part of our Board of Directors authorized share repurchase program.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31, 2023, there was $198.0 million remaining under the current authorization.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 June 21, 2023, our Board of Directors declared a quarterly dividend of $0.175 per share of common stock, which will be paid on September 15, 2023 to stockholders of record as of the close of business on September 1, 2023. Future declarations of dividends and the establishment of future record and payment dates are subject to the final determination of our Board of Directors.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i w:val="1"/>
                <w:iCs w:val="1"/>
                <w:color w:val="auto"/>
              </w:rPr>
              <w:t>Restructuring Activities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color w:val="auto"/>
              </w:rPr>
              <w:t>See Note 12 to the condensed consolidated financial statements.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i w:val="1"/>
                <w:iCs w:val="1"/>
                <w:color w:val="auto"/>
              </w:rPr>
              <w:t>Long-term Debt and Credit Facility</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color w:val="auto"/>
              </w:rPr>
              <w:t>See Note 7 to the condensed consolidated financial statements.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40"/>
        </w:trPr>
        <w:tc>
          <w:tcPr>
            <w:tcW w:w="7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8"/>
                <w:szCs w:val="18"/>
                <w:color w:val="auto"/>
              </w:rPr>
              <w:t>Six Months Ended</w:t>
            </w:r>
          </w:p>
        </w:tc>
      </w:tr>
      <w:tr>
        <w:trPr>
          <w:trHeight w:val="223"/>
        </w:trPr>
        <w:tc>
          <w:tcPr>
            <w:tcW w:w="7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May 31, 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May 31, 2022</w:t>
            </w:r>
          </w:p>
        </w:tc>
      </w:tr>
      <w:tr>
        <w:trPr>
          <w:trHeight w:val="23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35,764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Non-cash reconciling items included in net income</w:t>
            </w:r>
          </w:p>
        </w:tc>
        <w:tc>
          <w:tcPr>
            <w:tcW w:w="300" w:type="dxa"/>
            <w:vAlign w:val="bottom"/>
          </w:tcPr>
          <w:p>
            <w:pPr>
              <w:spacing w:after="0"/>
              <w:rPr>
                <w:sz w:val="19"/>
                <w:szCs w:val="19"/>
                <w:color w:val="auto"/>
              </w:rPr>
            </w:pPr>
          </w:p>
        </w:tc>
        <w:tc>
          <w:tcPr>
            <w:tcW w:w="1660" w:type="dxa"/>
            <w:vAlign w:val="bottom"/>
          </w:tcPr>
          <w:p>
            <w:pPr>
              <w:ind w:left="1100"/>
              <w:spacing w:after="0"/>
              <w:rPr>
                <w:sz w:val="20"/>
                <w:szCs w:val="20"/>
                <w:color w:val="auto"/>
              </w:rPr>
            </w:pPr>
            <w:r>
              <w:rPr>
                <w:rFonts w:ascii="Arial" w:cs="Arial" w:eastAsia="Arial" w:hAnsi="Arial"/>
                <w:sz w:val="18"/>
                <w:szCs w:val="18"/>
                <w:color w:val="auto"/>
                <w:w w:val="98"/>
              </w:rPr>
              <w:t>63,423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51,413</w:t>
            </w: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1"/>
              </w:rPr>
              <w:t>(4,469)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Net cash flows from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ind w:left="1100"/>
              <w:spacing w:after="0"/>
              <w:rPr>
                <w:sz w:val="20"/>
                <w:szCs w:val="20"/>
                <w:color w:val="auto"/>
              </w:rPr>
            </w:pPr>
            <w:r>
              <w:rPr>
                <w:rFonts w:ascii="Arial" w:cs="Arial" w:eastAsia="Arial" w:hAnsi="Arial"/>
                <w:sz w:val="18"/>
                <w:szCs w:val="18"/>
                <w:color w:val="auto"/>
                <w:w w:val="98"/>
              </w:rPr>
              <w:t>94,718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112,353</w:t>
            </w:r>
          </w:p>
        </w:tc>
      </w:tr>
      <w:tr>
        <w:trPr>
          <w:trHeight w:val="27"/>
        </w:trPr>
        <w:tc>
          <w:tcPr>
            <w:tcW w:w="71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r>
    </w:tbl>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first six months of fiscal year 2023, operating cash flows decreased as a result of higher operating expenses, due to the acquisition of MarkLogic, as compared to the same period in 2022, partially offset by higher billings and collections. Our gross accounts receivable as of May 31, 2023, decreased by $10.8 million from the end of fiscal year 2022 and our days sales outstanding (DSO) in accounts receivable increased to 44 days from 39 days in the second fiscal quarter of 2022 due to the timing of billings and collections.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i w:val="1"/>
                <w:iCs w:val="1"/>
                <w:color w:val="auto"/>
              </w:rPr>
              <w:t>Cash Flows (Used in) From Investing Activities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47"/>
        </w:trPr>
        <w:tc>
          <w:tcPr>
            <w:tcW w:w="7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8"/>
                <w:szCs w:val="18"/>
                <w:color w:val="auto"/>
              </w:rPr>
              <w:t>Six Months Ended</w:t>
            </w:r>
          </w:p>
        </w:tc>
      </w:tr>
      <w:tr>
        <w:trPr>
          <w:trHeight w:val="230"/>
        </w:trPr>
        <w:tc>
          <w:tcPr>
            <w:tcW w:w="7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May 31, 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May 31, 2022</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activity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3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for acquisitions, net of cash acquired</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(356,096)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Proceeds from sale of long-lived assets, net</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25,998</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from investing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(357,627)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Net cash outflows and inflows of our net investment activity are generally a result of the timing of our purchases and maturities of securities, which are classified as cash equivalents or short-term securities. In the second quarter of fiscal year 2023 had payments for acquisitions net of cash acquired of $356.1 million. We also purchased $2.0 million of property and equipment in the first six months of fiscal year 2023, as compared to $2.0 million in the first six months of fiscal year 2022. In the second quarter of fiscal year 2022 we received $26.0 million net proceeds from the sale of long-lived assets.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i w:val="1"/>
                <w:iCs w:val="1"/>
                <w:color w:val="auto"/>
              </w:rPr>
              <w:t>Cash Flows From (Used in) Financing Activities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40"/>
        </w:trPr>
        <w:tc>
          <w:tcPr>
            <w:tcW w:w="7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8"/>
                <w:szCs w:val="18"/>
                <w:color w:val="auto"/>
              </w:rPr>
              <w:t>Six Months Ended</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May 31, 2023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May 31, 2022</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(51,473)</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issuance of debt</w:t>
            </w: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 on term loan</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Dividend payments to stockholders</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(15,871)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(15,573)</w:t>
            </w:r>
          </w:p>
        </w:tc>
      </w:tr>
      <w:tr>
        <w:trPr>
          <w:trHeight w:val="23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Net cash flows from (used in) financing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128,956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(62,598)</w:t>
            </w:r>
          </w:p>
        </w:tc>
      </w:tr>
      <w:tr>
        <w:trPr>
          <w:trHeight w:val="21"/>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During the first six months of fiscal year 2023, we received $195.0 million in net proceeds from the issuance of debt. During the first six months of fiscal year 2022, we received $7.5 million in net proceeds from the issuance of debt in connection with our amended term loan. We received $16.4 million from the exercise of stock options and the issuance of shares under our employee stock purchase plan as compared to $7.8 million in the first six months of fiscal year 2022. Further, we repurchased $30.0 million of our common stock under our share repurchase plan compared to $51.5 million in the same period of the prior year. We also made payments on our long-term debt of $28.4 million (including a $25.0 million repayment on the revolving line of credit) in the first six months of fiscal year 2023 and $3.4 million in the same period in 2022. Finally, we made dividend payments of $15.9 million to our stockholders during the first six months of fiscal year 2023 and $15.6 million in the first six months of fiscal year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Outlook</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Cash from operations in fiscal year 2023 could be affected by various risks and uncertainties, including, but not limited to, the effects of various risks detailed in Part I, Item 1A. Risk Factors in our 2022 Annual Report which have led to increased disruption and volatility in capital markets and credit markets that could adversely affect our liquidity and capital resources in the future. However, based on our current business plan, we believe that existing cash balances, together with funds generated from operations and amounts available under our Credit Facility, will be sufficient to finance our operations and meet our foreseeable cash requirements through at least the next twelve months. We do not contemplate a need for any foreign repatriation of the earnings which are deemed invested indefinitely outside of the U.S. Our foreseeable cash needs include capital expenditures, acquisitions, debt repayments, quarterly cash dividends, share repurchases, lease commitments, restructuring obligations and other long-term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Regulatory Matters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discussion below in Part I, Item 2, regarding Recent Developments: MOVEit Vulnerability, as well as legal and other regulatory matters in Part II, Item 1.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Nature of Business and Basis of Presentation (Part I, Item 1 of this Form 10-Q) for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MOVEit Vulnerability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Event</w:t>
      </w:r>
    </w:p>
    <w:p>
      <w:pPr>
        <w:spacing w:after="0" w:line="23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As disclosed via a Form 8-K filed on June 5, 2023, on the evening of May 28, 2023 (Eastern Time), our MOVEit technical support team received an initial customer support call indicating unusual activity within their MOVEit Transfer instance. An investigative team was mobilized and, on May 30, 2023, the investigative team discovered a zero-day vulnerability in MOVEit Transfer (including our cloud-hosted version of MOVEit Transfer known as MOVEit Cloud). The investigative team determined the zero-day vulnerability (the “MOVEit Vulnerability”) could provide for unauthorized escalated privileges and access to the customer’s underlying environment in both MOVEit Transfer (the on-premise version) and MOVEit Cloud (the cloud-hosted version of MOVEit Transfer that we deploy in both (i) a public cloud format, as well as, (ii) for a small group of customers, in a customer-dedicated cloud instance that is managed separately from the public-cloud). We promptly took down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ind w:right="20"/>
        <w:spacing w:after="0" w:line="248" w:lineRule="auto"/>
        <w:rPr>
          <w:sz w:val="20"/>
          <w:szCs w:val="20"/>
          <w:color w:val="auto"/>
        </w:rPr>
      </w:pPr>
      <w:r>
        <w:rPr>
          <w:rFonts w:ascii="Arial" w:cs="Arial" w:eastAsia="Arial" w:hAnsi="Arial"/>
          <w:sz w:val="18"/>
          <w:szCs w:val="18"/>
          <w:color w:val="auto"/>
        </w:rPr>
        <w:t>MOVEit Cloud for further investigation and notified all then-known MOVEit Transfer and MOVEit Cloud customers in order to apprise them of the MOVEit Vulnerability and alert them to immediate remedial actions. In parallel, our team developed a patch for all supported versions of MOVEit Transfer and MOVEit Cloud, which was released on May 31, 2023, and allowed for the restoration of MOVEit Cloud that same day.</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MOVEit Transfer is a secure file-transfer software that is installed by customers on-premise and does not have any on-going telemetry after installation that allows us to track, among other things, a customer’s product usage, deployed version, file transfer activity (including any data that is transferred by or stored within the customer’s MOVEit Transfer instance), or whether the customer has applied any security patches or bug fixes to their MOVEit Transfer instance. However, certain MOVEit Transfer customers have reported that malicious threat actors have exploited the MOVEit Vulnerability to obtain access to their environments and portions of their sensitive customer data.</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Furthermore, while we continue to investigate this vulnerability in MOVEit Cloud, we currently have not seen any evidence that sensitive customer data has been exfiltrated from the public MOVEit Cloud instances. For a small group of customers, we provide a dedicated MOVEit Cloud instance which is hosted, for each such customer, separate and apart from the public instances of our MOVEit Cloud platform. Two of our dedicated MOVEit Cloud customers have reported that malicious threat actors have exploited the MOVEit Vulnerability to obtain access to its environment. As of the date of the filing of this report on Form 10-Q, one such customer has confirmed that no sensitive data was compromised and another has not revealed the nature of the data that may have been accessed.</w:t>
      </w:r>
    </w:p>
    <w:p>
      <w:pPr>
        <w:spacing w:after="0" w:line="216"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Since our disclosures regarding the MOVEit Vulnerability, various third-parties have been actively scrutinizing MOVEit Transfer and MOVEit Cloud, leading to the discovery and our prompt patching of additional vulnerabilities. We are not aware of any evidence that these additional vulnerabilities were exploited by malicious threat actors prior to creating patches to address them and making those patches available to our MOVEit Transfer customers and applying those patches to the MOVEit Cloud environments – both the public and dedicated cloud instances.</w:t>
      </w:r>
    </w:p>
    <w:p>
      <w:pPr>
        <w:spacing w:after="0" w:line="199"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Progress has remained fully operational at all times before and after the discovery of the MOVEit Vulnerability and, as of the time of the filing of this report on Form 10-Q, has not uncovered evidence of unauthorized activity or impact to products beyond MOVEit Transfer and MOVEit Cloud. MOVEit Transfer and MOVEit Cloud represented approximately 4% in aggregate of the Company’s revenue for the six months ended May 31, 2023.</w:t>
      </w:r>
    </w:p>
    <w:p>
      <w:pPr>
        <w:spacing w:after="0" w:line="182"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Progress has engaged outside cybersecurity experts and other incident response professionals to conduct a forensic investigation and assess the extent and scope of the MOVEit Vulnerability. While Progress’ investigation remains ongoing, the Company (i) has and is continuing to implement a series of additional security and related measures aimed at addressing the MOVEit Vulnerability and subsequently discovered vulnerabilities and further strengthening the overall security of our MOVEit applications, (ii) has engaged outside legal counsel to conduct a thorough independent investigation of the MOVEit Vulnerability, and (iii) has engaged with federal law enforcement and other federal agencies with respect to the MOVEit Vulnerability. As the investigation remains ongoing, Progress will continue to assess the potential impact on its business, operations and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23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Given that the MOVEit Vulnerability was only discovered on May 30, 2023, and our second quarter ended on May 31, 2023, we incurred minimal costs and expenses with respect to the MOVEit Vulnerability during the second quarter.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Costs</w:t>
      </w:r>
    </w:p>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expect to incur investigation, legal and professional services expenses associated with the MOVEit Vulnerability in future periods. We will recognize these expenses as services are received, net of received and expected insurance recoveries. Our financial liability arising from any of the foregoing will depend on many factors, including limitations contained within our customer contracts, the amount of private litigation, and whether governmental entities launch formal investigations into the matter, and it is not possible at this time to estimate the quantitative impact of any such liability with any reasonable degree of certainty.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23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maintain cybersecurity insurance and other types of insurance coverage for up to $15.0 million in losses, which are expected to reduce our exposure to liabilities arising from the MOVEit Vulnerability. We will pursue recoveries to the maximum extent available under the policies. As of May 31, 2023, we have recorded approximately $3.0 million in insurance recoveries, all of which was related to the November 2022 cyber incident, providing us with $12.0 million of additional coverage (which is subject to a $0.5 million per claim deductible).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Future Capital Investments</w:t>
      </w:r>
    </w:p>
    <w:p>
      <w:pPr>
        <w:spacing w:after="0" w:line="239"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color w:val="auto"/>
        </w:rPr>
        <w:t>In addition, we may accelerate or make additional investments in our information technology systems, but we are unable to estimate such investments because the nature and scope has not yet been determined. We currently do not expect such amounts to be material to any fiscal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Sales and Customer Loyalty</w:t>
      </w:r>
    </w:p>
    <w:p>
      <w:pPr>
        <w:spacing w:after="0" w:line="2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MOVEit Vulnerability may adversely affect our future performance and financial results. Customer confidence in Progress may also be impacted by the MOVEit Vulnerability. Through our response speed and transparent communications, we are committed to, and actively engaged in, activities to restore any loss in customer confidence. We currently cannot predict the length or extent of any ongoing impact to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Governmental Investigations</w:t>
      </w:r>
    </w:p>
    <w:p>
      <w:pPr>
        <w:spacing w:after="0" w:line="23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of the date of the filing of this report on Form 10-Q, (i) four customers that claim to have been impacted by the MOVEit Vulnerability have indicated that they intend to seek indemnification from us related to the MOVEit Vulnerability, and (ii) there have been eleven class action lawsuits filed by individuals who claim to have been impacted by exfiltration of data from the environments of our MOVEit Transfer customers. We have also been cooperating with several inquiries and one formal investigation from domestic and foreign law enforcement agencies and data privacy regulators. As of the date of the filing of this report, the law enforcement investigation that we are cooperating with is not an enforcement action or formal governmental investigation of which we have been told that we are a target.</w:t>
      </w:r>
    </w:p>
    <w:p>
      <w:pPr>
        <w:spacing w:after="0" w:line="21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Such claims and investigations may have an adverse effect on how we operate our business and our results of operations, and in the future, we may be subject to additional governmental or regulatory investigations, as well as additional litigation or indemnification claims. While a loss from these matters is possible, we cannot reasonably estimate a range of possible losses at this time and our investigation into the matter is ongoing. Furthermore, with respect to the litigation, the proceedings remain in the early stages, alleged damages have not been specified, there is uncertainty as to the likelihood of a class or classes being certified or the ultimate size of any class if certified, and there are significant factual and legal issues to be resolved. As such, we have not recorded a loss contingency liability for litigation, claims and governmental investigations in the second quarter. See Note 15 to Consolidated Financial Statements included in Item 1,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During the first six months of fiscal year 2023, with the exception of drawing down on our revolving line of credit as described in Note 7, there were no significant changes to our quantitative and qualitative disclosures about market risk. Please refer to Part II, Item 7A. Quantitative and Qualitative Disclosures about Market Risk included in our 2022 Annual Report, for a more complete discussion of the market risks we encounter.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management maintains disclosure controls and procedures as defined in Rule 13a-15(e) and 15d-15(e) under the Securities and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carried out an evaluation of the effectiveness of our disclosure controls and procedures as of the end of the period covered by this report. Based on this evaluation, our Chief Executive Officer and Chief Financial Officer concluded that our disclosure controls and procedures were effective to ensure that the information required to be disclosed in the reports filed or submitted by us under the Exchange Act was recorded, processed, summarized and reported within the requisite time periods and that such information was accumulated and communicated to our management, including our Chief Executive Officer and Chief Financial Officer, as appropriate to allow for timely decisions regarding required disclosure.</w:t>
      </w: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acquired MarkLogic on February 7, 2023. Management excluded MarkLogic from its assessment of the effectiveness of the Company’s disclosure controls as of May 31, 2023. MarkLogic represented, in aggregate, approximately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15% of the Company’s total consolidated assets (excluding goodwill and intangibles) and approximately 14% of total consolidated revenues, as of and for the three months ended May 31,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May 31, 2023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5"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subject to various legal proceedings and claims, either asserted or unasserted, which arise in the ordinary course of business. While the outcome of these claims cannot be predicted with certainty, management currently does not believe that the outcome of any of these legal matters will have a material effect on our financial position,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operate in a rapidly changing environment that involves certain risks and uncertainties, some of which are beyond our control. In addition to the updated risk factors provided below, please refer to Part I, Item 1A. Risk Factors in our 2022 Annual Report for a more complete discussion regarding certain factors that could materially affect our business, financial condition or future results.</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b w:val="1"/>
          <w:bCs w:val="1"/>
          <w:i w:val="1"/>
          <w:iCs w:val="1"/>
          <w:color w:val="auto"/>
        </w:rPr>
        <w:t>If our products contain software defects or security flaws, it could harm our revenues by causing us to lose customers and could increase our liabilities by exposing us to costly governmental investigations or litigation. For example, the exploitation of the zero-day MOVEit Vulnerability in May 2023 has</w:t>
      </w:r>
    </w:p>
    <w:p>
      <w:pPr>
        <w:ind w:right="40"/>
        <w:spacing w:after="0" w:line="256" w:lineRule="auto"/>
        <w:rPr>
          <w:sz w:val="20"/>
          <w:szCs w:val="20"/>
          <w:color w:val="auto"/>
        </w:rPr>
      </w:pPr>
      <w:r>
        <w:rPr>
          <w:rFonts w:ascii="Arial" w:cs="Arial" w:eastAsia="Arial" w:hAnsi="Arial"/>
          <w:sz w:val="17"/>
          <w:szCs w:val="17"/>
          <w:b w:val="1"/>
          <w:bCs w:val="1"/>
          <w:i w:val="1"/>
          <w:iCs w:val="1"/>
          <w:color w:val="auto"/>
        </w:rPr>
        <w:t xml:space="preserve">resulted in government inquiries, a formal law enforcement investigation, and private litigation. </w:t>
      </w:r>
      <w:r>
        <w:rPr>
          <w:rFonts w:ascii="Arial" w:cs="Arial" w:eastAsia="Arial" w:hAnsi="Arial"/>
          <w:sz w:val="17"/>
          <w:szCs w:val="17"/>
          <w:color w:val="auto"/>
        </w:rPr>
        <w:t>Our products, despite extensive testing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 may contain defects, vulnerabilities or security flaws. In the ordinary course of business, we may need to issue corrective releases of our software products to fix any defects, vulnerabilities, or security flaws. Depending upon the severity of any such matters, the detection and correction of such matters can be time consuming and costly. If any such issues are exploited by malicious threat actors, we could experience, among other things, material adverse impact to our revenues due to loss of customers and increased liabilities due to costly governmental investigations or litigation. In addition, any such matters could affect the ability of our products to work with hardware or other software products, delay the development or release of new products or new versions of products (due to a reallocation of our internal resources), and/or adversely affect market acceptance of our products, all of which could have a material adverse effect on our overall performance.</w:t>
      </w:r>
    </w:p>
    <w:p>
      <w:pPr>
        <w:spacing w:after="0" w:line="19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On the evening of May 28, 2023 (Eastern Time), our MOVEit technical support team received an initial customer support call indicating unusual activity within their MOVEit Transfer instance. An investigative team was mobilized and, on May 30, 2023, the investigative team discovered a zero-day vulnerability in MOVEit Transfer (including our cloud-hosted versions of MOVEit Transfer, known as MOVEit Cloud). The investigative team determined that the zero-day vulnerability (the “MOVEit Vulnerability”) could provide for unauthorized escalated privileges and access to the customer’s underlying environment in both MOVEit Transfer (the on-premise version) and MOVEit Cloud (a cloud-hosted version of MOVEit Transfer that we deploy in both (i) a public cloud format, as well as (ii) for a small group of customers, in a customer-dedicated cloud instance which is managed separately from the public-cloud). We promptly took down MOVEit Cloud for further investigation and notified all then-known MOVEit Transfer and MOVEit Cloud customers in order to apprise them of the MOVEit Vulnerability and alert them to immediate remedial actions. In parallel, our team developed a patch for all supported versions of MOVEit Transfer and MOVEit Cloud, which was released on May 31, 2023 and allowed for the restoration of MOVEit Cloud the same day.</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MOVEit Transfer is a secure file-transfer software that is installed by customers on-premise and does not have any on-going telemetry after installation that allows us to track, among other things, a customer’s product usage, deployed version, file transfer activity (including any data that is transferred by or stored within the customer’s MOVEit Transfer instance), or whether the customer has applied any security patches or bug fixes to their MOVEit Transfer instance. However, certain MOVEit Transfer customers have reported that malicious threat actors have exploited the MOVEit Vulnerability to obtain access to their environments and portions of their sensitive customer data.</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Furthermore, while we continue to investigate this vulnerability in MOVEit Cloud, we currently have not seen any evidence that sensitive customer data has been exfiltrated from the public MOVEit Cloud instances. For a small group of customers, we provide a dedicated MOVEit Cloud instance which is hosted, for each such customer, separate and apart from the public instances of our MOVEit Cloud platform. Two of our dedicated MOVEit Cloud customers have reported that malicious threat actors have exploited the MOVEit Vulnerability to obtain access to its environment. As of the date of the filing of this report on Form 10-Q, one such customer has confirmed that no sensitive data was compromised and another has not revealed the nature of the data that may have been accessed.</w:t>
      </w:r>
    </w:p>
    <w:p>
      <w:pPr>
        <w:spacing w:after="0" w:line="230"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As of the date of the filing of this report on Form 10-Q, these events have led to several domestic and foreign government inquiries, one formal investigation from a law enforcement agency, and private litigation, all of which could have adverse impacts on our business and operations and the results thereof. More specifically, as of the date of the filing of this report on Form 10-Q, (i) four customers that claim to have been impacted by the MOVEit Vulnerability have indicated that they intend to seek indemnification from us related to the MOVEit Vulnerability, and (ii) there have been eleven class action lawsuits filed by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ind w:right="140"/>
        <w:spacing w:after="0" w:line="278" w:lineRule="auto"/>
        <w:rPr>
          <w:sz w:val="20"/>
          <w:szCs w:val="20"/>
          <w:color w:val="auto"/>
        </w:rPr>
      </w:pPr>
      <w:r>
        <w:rPr>
          <w:rFonts w:ascii="Arial" w:cs="Arial" w:eastAsia="Arial" w:hAnsi="Arial"/>
          <w:sz w:val="16"/>
          <w:szCs w:val="16"/>
          <w:color w:val="auto"/>
        </w:rPr>
        <w:t>individuals who claim to have been impacted by exfiltration of data from the environments of our MOVEit Transfer customers. We have also been cooperating with inquiries from several domestic and foreign law enforcement agencies and data privacy regulators, as well as one formal investigation from a law enforcement agency. Such claims and investigations may have an adverse effect on how we operate our business and our results of operations, and in the future, we may be subject to additional governmental or regulatory investigations, as well as additional litigation or indemnification claims. Following the discovery of the MOVEit Vulnerability and the various remedial actions described here, we have discovered and patched additional vulnerabilities within the MOVEit Transfer and MOVEit Cloud platforms. While we are not aware of any evidence that these additional vulnerabilities were exploited by malicious threat actors prior to creating patches to address them and making those patches available to our MOVEit Transfer customers and applying those patches to the MOVEit Cloud environments (both the public and dedicated cloud instances) we cannot guarantee that we have or will uncover and/or address all vulnerabilities within the MOVEit platform or any of our other products prior to exploitation.</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financial liability arising from any of the foregoing will depend on many factors, including the extent to which governmental entities investigate the matter and limitations contained within our customer contracts; therefore, we are unable at this time to estimate the quantitative impact of any such liability with any reasonable degree of certainty. As the investigation remains ongoing, we will continue to assess the potential impact of the MOVEit Vulnerability on our business, operations, and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and partners may seek refunds, delay implementation timelines, delay payment, fail to pay us in accordance with the terms of their</w:t>
      </w:r>
    </w:p>
    <w:p>
      <w:pPr>
        <w:spacing w:after="0" w:line="59"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b w:val="1"/>
          <w:bCs w:val="1"/>
          <w:i w:val="1"/>
          <w:iCs w:val="1"/>
          <w:color w:val="auto"/>
        </w:rPr>
        <w:t xml:space="preserve">agreements, or terminate use of our products, all of which can have an adverse affect on us. </w:t>
      </w:r>
      <w:r>
        <w:rPr>
          <w:rFonts w:ascii="Arial" w:cs="Arial" w:eastAsia="Arial" w:hAnsi="Arial"/>
          <w:sz w:val="17"/>
          <w:szCs w:val="17"/>
          <w:color w:val="auto"/>
        </w:rPr>
        <w:t>If customers or partners seek refunds, delay implementation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products, delay payment, fail to pay us under the terms of our agreements, or terminate use of our products, we may be adversely affected both from the inability to collect amounts due and the cost of enforcing the terms of our contracts (including litigation related thereto). For example, as of the date of the filing of this report on Form 10-Q, four customers that claim to have been impacted by the MOVEit Vulnerability have indicated that they intend to seek indemnification from us related to the MOVEit Vulnerability and it is possible that, in connection therewith, they may delay payment under the terms of their contracts. Other MOVEit Transfer and MOVEit Cloud customers have sought refunds or delayed implementation timelines. As the scope of the impact of the MOVEit Vulnerability becomes more clear, additional customers may attempt to seek refunds, delay product implementation, withhold payments, or cease using the MOVEit product line entirely.</w:t>
      </w:r>
    </w:p>
    <w:p>
      <w:pPr>
        <w:spacing w:after="0" w:line="208"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In addition, in the ordinary course of business, some of our customers and partners may seek bankruptcy protection or other similar relief and fail to pay amounts due to us, or pay those amounts more slowly, either of which could adversely affect our operating results, financial position and cash flow.</w:t>
      </w:r>
    </w:p>
    <w:p>
      <w:pPr>
        <w:spacing w:after="0" w:line="151"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i w:val="1"/>
          <w:iCs w:val="1"/>
          <w:color w:val="auto"/>
        </w:rPr>
        <w:t xml:space="preserve">Our business could be damaged, and we could be subject to liability, in the event of any unauthorized access to our data or our customers’ data, including through privacy and data security breaches, such as or in addition to the MOVEit Vulnerability. </w:t>
      </w:r>
      <w:r>
        <w:rPr>
          <w:rFonts w:ascii="Arial" w:cs="Arial" w:eastAsia="Arial" w:hAnsi="Arial"/>
          <w:sz w:val="16"/>
          <w:szCs w:val="16"/>
          <w:color w:val="auto"/>
        </w:rPr>
        <w:t>The use of certain of our products,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MOVEit Cloud, involves the transmission or storage of third-party data in our environment, some of which may be considered personally identifiable, confidential, or sensitive. In the ordinary course of business, we face security threats from malicious threat actors that could obtain unauthorized access to our systems, infrastructure, products, and networks. We anticipate that these threats will continue to grow in scope and complexity over time.</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For example, once we discovered the MOVEit Vulnerability on May 30, 2023, we (i) promptly took down MOVEit Cloud for investigation, and (ii) notified all then-known MOVEit Transfer and MOVEit Cloud customers in order to apprise them of the MOVEit Vulnerability and alert them to immediate remedial actions. In parallel, the MOVEit engineering team worked to develop a patch for all supported versions of MOVEit Transfer (and MOVEit Cloud), which was released on May 31, 2023 and allowed for the restoration of MOVEit Cloud that same day. While we believe that our actions have, and will continue to, reduce the likelihood of similar vulnerabilities occurring in the future in our MOVEit product line, malicious threat actors might use techniques to exploit other zero-day vulnerabilities or use other means that we are unable to defend against, in order to compromise and infiltrate our systems, infrastructure, networks, and products, including, but not limited to, MOVEit or other products. In addition, MOVEit Transfer is a secure file-transfer software that is installed by customers on-premise and does not have any on-going telemetry after installation that allows us to track, among other things, whether the customer has applied any security patches or bug fixes to their MOVEit Transfer instance.</w:t>
      </w:r>
    </w:p>
    <w:p>
      <w:pPr>
        <w:spacing w:after="0" w:line="19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While we devote a significant amount of resources to cyber security related matters in the operation of our business, we may fail to detect the existence of a breach and be unable to prevent unauthorized access to user and company content across our systems, infrastructure, products, and networks.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we may suffer reputational damage, our products may be perceived as insecure, and we may lose existing customers, or fail to attract and retain new customers.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both"/>
        <w:ind w:right="360"/>
        <w:spacing w:after="0" w:line="243" w:lineRule="auto"/>
        <w:rPr>
          <w:sz w:val="20"/>
          <w:szCs w:val="20"/>
          <w:color w:val="auto"/>
        </w:rPr>
      </w:pPr>
      <w:r>
        <w:rPr>
          <w:rFonts w:ascii="Arial" w:cs="Arial" w:eastAsia="Arial" w:hAnsi="Arial"/>
          <w:sz w:val="18"/>
          <w:szCs w:val="18"/>
          <w:color w:val="auto"/>
        </w:rPr>
        <w:t>In addition to internal resources, we frequently rely on third parties when deploying our cybersecurity related infrastructure, and in doing so, may be exposed to security risks outside of our direct control. In connection therewith, we rely on outside vendors and contractors to perform certain services necessary for the operation and testing of certain of our products, and they may fail to adequately secure our platform or discover vulnerabilities in our products.</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While we have implemented security procedures and controls aimed at addressing these threats and patching vulnerabilities, our security measures could be compromised and our attempts to implement security measures and patch vulnerabilities could prove to be inadequate or could fail. Any such failure could result in significant legal and financial exposure, increased costs to defend litigation, indemnity and other contractual obligations, government fines and penalties, damage to our reputation and our brand, and a loss of confidence in the security of our products and services that could potentially have an adverse effect on our business and results of operations. In addition, our insurance coverage may not be adequate to cover all costs related to cybersecurity incidents or the exploitation of vulnerabilities as well as the disruptions resulting from such events.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2(a) and 2(b) are 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Stock Repurchases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Information related to the repurchases of our common stock by month in the second quarter of fiscal year 2023 is as follows (in thousands, except per share and share data):</w:t>
      </w: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Arial" w:cs="Arial" w:eastAsia="Arial" w:hAnsi="Arial"/>
                <w:sz w:val="18"/>
                <w:szCs w:val="18"/>
                <w:color w:val="auto"/>
                <w:w w:val="92"/>
              </w:rPr>
              <w:t>Total 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4"/>
              </w:rPr>
              <w:t>Shares Purchased as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130"/>
              <w:spacing w:after="0" w:line="176" w:lineRule="exact"/>
              <w:rPr>
                <w:sz w:val="20"/>
                <w:szCs w:val="20"/>
                <w:color w:val="auto"/>
              </w:rPr>
            </w:pPr>
            <w:r>
              <w:rPr>
                <w:rFonts w:ascii="Arial" w:cs="Arial" w:eastAsia="Arial" w:hAnsi="Arial"/>
                <w:sz w:val="18"/>
                <w:szCs w:val="18"/>
                <w:color w:val="auto"/>
                <w:w w:val="96"/>
              </w:rPr>
              <w:t>Approximate Dollar</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 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vMerge w:val="restart"/>
          </w:tcPr>
          <w:p>
            <w:pPr>
              <w:jc w:val="right"/>
              <w:ind w:right="50"/>
              <w:spacing w:after="0"/>
              <w:rPr>
                <w:sz w:val="20"/>
                <w:szCs w:val="20"/>
                <w:color w:val="auto"/>
              </w:rPr>
            </w:pPr>
            <w:r>
              <w:rPr>
                <w:rFonts w:ascii="Arial" w:cs="Arial" w:eastAsia="Arial" w:hAnsi="Arial"/>
                <w:sz w:val="18"/>
                <w:szCs w:val="18"/>
                <w:color w:val="auto"/>
                <w:w w:val="89"/>
              </w:rPr>
              <w:t>Average Price Paid</w:t>
            </w:r>
          </w:p>
        </w:tc>
        <w:tc>
          <w:tcPr>
            <w:tcW w:w="1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3"/>
              </w:rPr>
              <w:t>Part of Publicly</w:t>
            </w:r>
          </w:p>
        </w:tc>
        <w:tc>
          <w:tcPr>
            <w:tcW w:w="100" w:type="dxa"/>
            <w:vAlign w:val="bottom"/>
          </w:tcPr>
          <w:p>
            <w:pPr>
              <w:spacing w:after="0"/>
              <w:rPr>
                <w:sz w:val="15"/>
                <w:szCs w:val="15"/>
                <w:color w:val="auto"/>
              </w:rPr>
            </w:pPr>
          </w:p>
        </w:tc>
        <w:tc>
          <w:tcPr>
            <w:tcW w:w="18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Value of Shares that May</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Arial" w:cs="Arial" w:eastAsia="Arial" w:hAnsi="Arial"/>
                <w:sz w:val="18"/>
                <w:szCs w:val="18"/>
                <w:color w:val="auto"/>
                <w:w w:val="90"/>
              </w:rPr>
              <w:t>Announced Plans or</w:t>
            </w:r>
          </w:p>
        </w:tc>
        <w:tc>
          <w:tcPr>
            <w:tcW w:w="100" w:type="dxa"/>
            <w:vAlign w:val="bottom"/>
          </w:tcPr>
          <w:p>
            <w:pPr>
              <w:spacing w:after="0"/>
              <w:rPr>
                <w:sz w:val="15"/>
                <w:szCs w:val="15"/>
                <w:color w:val="auto"/>
              </w:rPr>
            </w:pPr>
          </w:p>
        </w:tc>
        <w:tc>
          <w:tcPr>
            <w:tcW w:w="188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90"/>
              </w:rPr>
              <w:t>Yet be Purchased Under</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Shares Purchased</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per Share</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Programs</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gridSpan w:val="2"/>
          </w:tcPr>
          <w:p>
            <w:pPr>
              <w:jc w:val="right"/>
              <w:spacing w:after="0" w:line="235" w:lineRule="exact"/>
              <w:rPr>
                <w:sz w:val="20"/>
                <w:szCs w:val="20"/>
                <w:color w:val="auto"/>
              </w:rPr>
            </w:pPr>
            <w:r>
              <w:rPr>
                <w:rFonts w:ascii="Arial" w:cs="Arial" w:eastAsia="Arial" w:hAnsi="Arial"/>
                <w:sz w:val="18"/>
                <w:szCs w:val="18"/>
                <w:color w:val="auto"/>
                <w:w w:val="89"/>
              </w:rPr>
              <w:t>the Plans or Programs</w:t>
            </w:r>
            <w:r>
              <w:rPr>
                <w:rFonts w:ascii="Arial" w:cs="Arial" w:eastAsia="Arial" w:hAnsi="Arial"/>
                <w:sz w:val="23"/>
                <w:szCs w:val="23"/>
                <w:color w:val="auto"/>
                <w:w w:val="89"/>
                <w:vertAlign w:val="superscript"/>
              </w:rPr>
              <w:t>(1)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212,959</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April 2023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268,931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55.76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268,931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197,959</w:t>
            </w: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2023</w:t>
            </w:r>
          </w:p>
        </w:tc>
        <w:tc>
          <w:tcPr>
            <w:tcW w:w="120" w:type="dxa"/>
            <w:vAlign w:val="bottom"/>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197,959</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268,931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268,931</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197,959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80" w:right="120" w:hanging="329"/>
        <w:spacing w:after="0" w:line="29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January 10, 2023, our Board of Directors increased the share repurchase authorization by 150.0 million, to an aggregate authorization of $228.0 million. As of May 31, 2023, there was $198.0 million remaining under this authorization.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previously reported in our Current Report on Form 8-K filed with the SEC on May 12, 2023, at the 2023 Annual Meeting of Stockholders of Progress Software Corporation (the "Company"), the Company’s stockholders indicated, on an advisory basis, that their preferred frequency for future stockholder votes regarding compensation awarded to the Company’s named executive officers (“frequency of say-on-pay”), was as follows: 36,344,690 votes for one year; 12,952 votes for two years; 1,095,160 votes for three years; 23,544 abstentions; and 2,449,061 broker non-votes. In light of these results, we have decided to continue including a shareholder vote on the compensation of the Company's named executive officers in our proxy materials every year until the next required vote on the frequency of shareholder votes on the compensation of executives.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4"/>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134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the Chief Executive Officer Pursuant to Section 302 of the Sarbanes-Oxley Act – Yogesh K. Gupta</w:t>
            </w:r>
          </w:p>
        </w:tc>
        <w:tc>
          <w:tcPr>
            <w:tcW w:w="1380" w:type="dxa"/>
            <w:vAlign w:val="bottom"/>
          </w:tcPr>
          <w:p>
            <w:pPr>
              <w:spacing w:after="0"/>
              <w:rPr>
                <w:sz w:val="24"/>
                <w:szCs w:val="24"/>
                <w:color w:val="auto"/>
              </w:rPr>
            </w:pPr>
          </w:p>
        </w:tc>
      </w:tr>
      <w:tr>
        <w:trPr>
          <w:trHeight w:val="466"/>
        </w:trPr>
        <w:tc>
          <w:tcPr>
            <w:tcW w:w="134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4"/>
          </w:tcPr>
          <w:p>
            <w:pPr>
              <w:spacing w:after="0"/>
              <w:rPr>
                <w:sz w:val="20"/>
                <w:szCs w:val="20"/>
                <w:color w:val="auto"/>
              </w:rPr>
            </w:pPr>
            <w:r>
              <w:rPr>
                <w:rFonts w:ascii="Arial" w:cs="Arial" w:eastAsia="Arial" w:hAnsi="Arial"/>
                <w:sz w:val="18"/>
                <w:szCs w:val="18"/>
                <w:color w:val="0000FF"/>
              </w:rPr>
              <w:t>Certification of the Chief Financial Officer Pursuant to Section 302 of the Sarbanes-Oxley Act – Anthony Folger</w:t>
            </w:r>
          </w:p>
        </w:tc>
      </w:tr>
      <w:tr>
        <w:trPr>
          <w:trHeight w:val="466"/>
        </w:trPr>
        <w:tc>
          <w:tcPr>
            <w:tcW w:w="1340" w:type="dxa"/>
            <w:vAlign w:val="bottom"/>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Certification Pursuant to Section 906 of the Sarbanes-Oxley Act</w:t>
            </w:r>
          </w:p>
        </w:tc>
        <w:tc>
          <w:tcPr>
            <w:tcW w:w="3480" w:type="dxa"/>
            <w:vAlign w:val="bottom"/>
            <w:tcBorders>
              <w:top w:val="single" w:sz="8" w:color="0000FF"/>
            </w:tcBorders>
          </w:tcPr>
          <w:p>
            <w:pPr>
              <w:spacing w:after="0"/>
              <w:rPr>
                <w:sz w:val="24"/>
                <w:szCs w:val="24"/>
                <w:color w:val="auto"/>
              </w:rPr>
            </w:pPr>
          </w:p>
        </w:tc>
        <w:tc>
          <w:tcPr>
            <w:tcW w:w="1540" w:type="dxa"/>
            <w:vAlign w:val="bottom"/>
            <w:gridSpan w:val="2"/>
          </w:tcPr>
          <w:p>
            <w:pPr>
              <w:spacing w:after="0"/>
              <w:rPr>
                <w:sz w:val="24"/>
                <w:szCs w:val="24"/>
                <w:color w:val="auto"/>
              </w:rPr>
            </w:pPr>
          </w:p>
        </w:tc>
      </w:tr>
      <w:tr>
        <w:trPr>
          <w:trHeight w:val="452"/>
        </w:trPr>
        <w:tc>
          <w:tcPr>
            <w:tcW w:w="134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4"/>
          </w:tcPr>
          <w:p>
            <w:pPr>
              <w:spacing w:after="0"/>
              <w:rPr>
                <w:sz w:val="20"/>
                <w:szCs w:val="20"/>
                <w:color w:val="auto"/>
              </w:rPr>
            </w:pPr>
            <w:r>
              <w:rPr>
                <w:rFonts w:ascii="Arial" w:cs="Arial" w:eastAsia="Arial" w:hAnsi="Arial"/>
                <w:sz w:val="18"/>
                <w:szCs w:val="18"/>
                <w:color w:val="auto"/>
                <w:w w:val="93"/>
              </w:rPr>
              <w:t>The following materials from Progress Software Corporation’s Quarterly Report on Form 10-Q for the three and six months ended</w:t>
            </w:r>
          </w:p>
        </w:tc>
      </w:tr>
      <w:tr>
        <w:trPr>
          <w:trHeight w:val="176"/>
        </w:trPr>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4"/>
          </w:tcPr>
          <w:p>
            <w:pPr>
              <w:spacing w:after="0" w:line="176" w:lineRule="exact"/>
              <w:rPr>
                <w:sz w:val="20"/>
                <w:szCs w:val="20"/>
                <w:color w:val="auto"/>
              </w:rPr>
            </w:pPr>
            <w:r>
              <w:rPr>
                <w:rFonts w:ascii="Arial" w:cs="Arial" w:eastAsia="Arial" w:hAnsi="Arial"/>
                <w:sz w:val="18"/>
                <w:szCs w:val="18"/>
                <w:color w:val="auto"/>
                <w:w w:val="91"/>
              </w:rPr>
              <w:t>May 31, 2023, formatted in iXBRL (Inline eXtensible Business Reporting Language): (i) Condensed Consolidated Balance Sheets as</w:t>
            </w:r>
          </w:p>
        </w:tc>
      </w:tr>
      <w:tr>
        <w:trPr>
          <w:trHeight w:val="176"/>
        </w:trPr>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4"/>
          </w:tcPr>
          <w:p>
            <w:pPr>
              <w:spacing w:after="0" w:line="176" w:lineRule="exact"/>
              <w:rPr>
                <w:sz w:val="20"/>
                <w:szCs w:val="20"/>
                <w:color w:val="auto"/>
              </w:rPr>
            </w:pPr>
            <w:r>
              <w:rPr>
                <w:rFonts w:ascii="Arial" w:cs="Arial" w:eastAsia="Arial" w:hAnsi="Arial"/>
                <w:sz w:val="18"/>
                <w:szCs w:val="18"/>
                <w:color w:val="auto"/>
                <w:w w:val="93"/>
              </w:rPr>
              <w:t>of May 31, 2023 and November 30, 2022; (ii) Condensed Consolidated Statements of Income for the three and six months ended</w:t>
            </w:r>
          </w:p>
        </w:tc>
      </w:tr>
      <w:tr>
        <w:trPr>
          <w:trHeight w:val="188"/>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gridSpan w:val="4"/>
          </w:tcPr>
          <w:p>
            <w:pPr>
              <w:spacing w:after="0" w:line="189" w:lineRule="exact"/>
              <w:rPr>
                <w:sz w:val="20"/>
                <w:szCs w:val="20"/>
                <w:color w:val="auto"/>
              </w:rPr>
            </w:pPr>
            <w:r>
              <w:rPr>
                <w:rFonts w:ascii="Arial" w:cs="Arial" w:eastAsia="Arial" w:hAnsi="Arial"/>
                <w:sz w:val="18"/>
                <w:szCs w:val="18"/>
                <w:color w:val="auto"/>
                <w:w w:val="90"/>
              </w:rPr>
              <w:t>May 31, 2023 and 2022; (iii) Condensed Consolidated Statements of Comprehensive Income for the three and six months ended May</w:t>
            </w:r>
          </w:p>
        </w:tc>
      </w:tr>
      <w:tr>
        <w:trPr>
          <w:trHeight w:val="176"/>
        </w:trPr>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4"/>
          </w:tcPr>
          <w:p>
            <w:pPr>
              <w:spacing w:after="0" w:line="176" w:lineRule="exact"/>
              <w:rPr>
                <w:sz w:val="20"/>
                <w:szCs w:val="20"/>
                <w:color w:val="auto"/>
              </w:rPr>
            </w:pPr>
            <w:r>
              <w:rPr>
                <w:rFonts w:ascii="Arial" w:cs="Arial" w:eastAsia="Arial" w:hAnsi="Arial"/>
                <w:sz w:val="18"/>
                <w:szCs w:val="18"/>
                <w:color w:val="auto"/>
                <w:w w:val="93"/>
              </w:rPr>
              <w:t>31, 2023 and 2022; (iv) Condensed Consolidated Statements of Stockholders' Equity for the three and six months ended May 31,</w:t>
            </w:r>
          </w:p>
        </w:tc>
      </w:tr>
      <w:tr>
        <w:trPr>
          <w:trHeight w:val="176"/>
        </w:trPr>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4"/>
          </w:tcPr>
          <w:p>
            <w:pPr>
              <w:spacing w:after="0" w:line="176" w:lineRule="exact"/>
              <w:rPr>
                <w:sz w:val="20"/>
                <w:szCs w:val="20"/>
                <w:color w:val="auto"/>
              </w:rPr>
            </w:pPr>
            <w:r>
              <w:rPr>
                <w:rFonts w:ascii="Arial" w:cs="Arial" w:eastAsia="Arial" w:hAnsi="Arial"/>
                <w:sz w:val="18"/>
                <w:szCs w:val="18"/>
                <w:color w:val="auto"/>
                <w:w w:val="91"/>
              </w:rPr>
              <w:t>2023 and 2022; (v) Condensed Consolidated Statements of Cash Flows for the three and six months ended May 31, 2023 and 2022;</w:t>
            </w: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4"/>
          </w:tcPr>
          <w:p>
            <w:pPr>
              <w:spacing w:after="0"/>
              <w:rPr>
                <w:sz w:val="20"/>
                <w:szCs w:val="20"/>
                <w:color w:val="auto"/>
              </w:rPr>
            </w:pPr>
            <w:r>
              <w:rPr>
                <w:rFonts w:ascii="Arial" w:cs="Arial" w:eastAsia="Arial" w:hAnsi="Arial"/>
                <w:sz w:val="18"/>
                <w:szCs w:val="18"/>
                <w:color w:val="auto"/>
              </w:rPr>
              <w:t>and (vi) Notes to Condensed Consolidated Financial Statements.</w:t>
            </w:r>
          </w:p>
        </w:tc>
      </w:tr>
      <w:tr>
        <w:trPr>
          <w:trHeight w:val="485"/>
        </w:trPr>
        <w:tc>
          <w:tcPr>
            <w:tcW w:w="134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40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 Filed herewith</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1" w:right="4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200" w:type="dxa"/>
            <w:vAlign w:val="bottom"/>
            <w:gridSpan w:val="3"/>
          </w:tcPr>
          <w:p>
            <w:pPr>
              <w:jc w:val="center"/>
              <w:ind w:right="4000"/>
              <w:spacing w:after="0"/>
              <w:rPr>
                <w:sz w:val="20"/>
                <w:szCs w:val="20"/>
                <w:color w:val="auto"/>
              </w:rPr>
            </w:pPr>
            <w:r>
              <w:rPr>
                <w:rFonts w:ascii="Arial" w:cs="Arial" w:eastAsia="Arial" w:hAnsi="Arial"/>
                <w:sz w:val="18"/>
                <w:szCs w:val="18"/>
                <w:color w:val="auto"/>
                <w:w w:val="91"/>
              </w:rPr>
              <w:t>PROGRESS SOFTWARE CORPORATION</w:t>
            </w:r>
          </w:p>
        </w:tc>
      </w:tr>
      <w:tr>
        <w:trPr>
          <w:trHeight w:val="237"/>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2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(Registrant)</w:t>
            </w:r>
          </w:p>
        </w:tc>
        <w:tc>
          <w:tcPr>
            <w:tcW w:w="4000" w:type="dxa"/>
            <w:vAlign w:val="bottom"/>
          </w:tcPr>
          <w:p>
            <w:pPr>
              <w:spacing w:after="0"/>
              <w:rPr>
                <w:sz w:val="20"/>
                <w:szCs w:val="20"/>
                <w:color w:val="auto"/>
              </w:rPr>
            </w:pPr>
          </w:p>
        </w:tc>
      </w:tr>
      <w:tr>
        <w:trPr>
          <w:trHeight w:val="54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320" w:type="dxa"/>
            <w:vAlign w:val="bottom"/>
          </w:tcPr>
          <w:p>
            <w:pPr>
              <w:ind w:left="220"/>
              <w:spacing w:after="0"/>
              <w:rPr>
                <w:sz w:val="20"/>
                <w:szCs w:val="20"/>
                <w:color w:val="auto"/>
              </w:rPr>
            </w:pPr>
            <w:r>
              <w:rPr>
                <w:rFonts w:ascii="Arial" w:cs="Arial" w:eastAsia="Arial" w:hAnsi="Arial"/>
                <w:sz w:val="18"/>
                <w:szCs w:val="18"/>
                <w:color w:val="auto"/>
              </w:rPr>
              <w:t>July 7, 2023</w:t>
            </w:r>
          </w:p>
        </w:tc>
        <w:tc>
          <w:tcPr>
            <w:tcW w:w="1860" w:type="dxa"/>
            <w:vAlign w:val="bottom"/>
          </w:tcPr>
          <w:p>
            <w:pPr>
              <w:spacing w:after="0"/>
              <w:rPr>
                <w:sz w:val="24"/>
                <w:szCs w:val="24"/>
                <w:color w:val="auto"/>
              </w:rPr>
            </w:pPr>
          </w:p>
        </w:tc>
        <w:tc>
          <w:tcPr>
            <w:tcW w:w="5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YOGESH K. GUPTA</w:t>
            </w:r>
          </w:p>
        </w:tc>
      </w:tr>
      <w:tr>
        <w:trPr>
          <w:trHeight w:val="224"/>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Yogesh K. Gupta</w:t>
            </w:r>
          </w:p>
        </w:tc>
      </w:tr>
      <w:tr>
        <w:trPr>
          <w:trHeight w:val="241"/>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13"/>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320" w:type="dxa"/>
            <w:vAlign w:val="bottom"/>
          </w:tcPr>
          <w:p>
            <w:pPr>
              <w:ind w:left="220"/>
              <w:spacing w:after="0"/>
              <w:rPr>
                <w:sz w:val="20"/>
                <w:szCs w:val="20"/>
                <w:color w:val="auto"/>
              </w:rPr>
            </w:pPr>
            <w:r>
              <w:rPr>
                <w:rFonts w:ascii="Arial" w:cs="Arial" w:eastAsia="Arial" w:hAnsi="Arial"/>
                <w:sz w:val="18"/>
                <w:szCs w:val="18"/>
                <w:color w:val="auto"/>
              </w:rPr>
              <w:t>July 7, 2023</w:t>
            </w:r>
          </w:p>
        </w:tc>
        <w:tc>
          <w:tcPr>
            <w:tcW w:w="1860" w:type="dxa"/>
            <w:vAlign w:val="bottom"/>
          </w:tcPr>
          <w:p>
            <w:pPr>
              <w:spacing w:after="0"/>
              <w:rPr>
                <w:sz w:val="24"/>
                <w:szCs w:val="24"/>
                <w:color w:val="auto"/>
              </w:rPr>
            </w:pPr>
          </w:p>
        </w:tc>
        <w:tc>
          <w:tcPr>
            <w:tcW w:w="5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ANTHONY FOLGER</w:t>
            </w:r>
          </w:p>
        </w:tc>
      </w:tr>
      <w:tr>
        <w:trPr>
          <w:trHeight w:val="222"/>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Anthony Folger</w:t>
            </w:r>
          </w:p>
        </w:tc>
      </w:tr>
      <w:tr>
        <w:trPr>
          <w:trHeight w:val="230"/>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13"/>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320" w:type="dxa"/>
            <w:vAlign w:val="bottom"/>
          </w:tcPr>
          <w:p>
            <w:pPr>
              <w:ind w:left="220"/>
              <w:spacing w:after="0"/>
              <w:rPr>
                <w:sz w:val="20"/>
                <w:szCs w:val="20"/>
                <w:color w:val="auto"/>
              </w:rPr>
            </w:pPr>
            <w:r>
              <w:rPr>
                <w:rFonts w:ascii="Arial" w:cs="Arial" w:eastAsia="Arial" w:hAnsi="Arial"/>
                <w:sz w:val="18"/>
                <w:szCs w:val="18"/>
                <w:color w:val="auto"/>
              </w:rPr>
              <w:t>July 7, 2023</w:t>
            </w:r>
          </w:p>
        </w:tc>
        <w:tc>
          <w:tcPr>
            <w:tcW w:w="1860" w:type="dxa"/>
            <w:vAlign w:val="bottom"/>
          </w:tcPr>
          <w:p>
            <w:pPr>
              <w:spacing w:after="0"/>
              <w:rPr>
                <w:sz w:val="24"/>
                <w:szCs w:val="24"/>
                <w:color w:val="auto"/>
              </w:rPr>
            </w:pPr>
          </w:p>
        </w:tc>
        <w:tc>
          <w:tcPr>
            <w:tcW w:w="5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DOMENIC LOCOCO</w:t>
            </w:r>
          </w:p>
        </w:tc>
      </w:tr>
      <w:tr>
        <w:trPr>
          <w:trHeight w:val="222"/>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Domenic LoCoco</w:t>
            </w:r>
          </w:p>
        </w:tc>
      </w:tr>
      <w:tr>
        <w:trPr>
          <w:trHeight w:val="230"/>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43"/>
        </w:trPr>
        <w:tc>
          <w:tcPr>
            <w:tcW w:w="6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864"/>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60" w:type="dxa"/>
            <w:vAlign w:val="bottom"/>
          </w:tcPr>
          <w:p>
            <w:pPr>
              <w:jc w:val="center"/>
              <w:ind w:left="1270"/>
              <w:spacing w:after="0"/>
              <w:rPr>
                <w:sz w:val="20"/>
                <w:szCs w:val="20"/>
                <w:color w:val="auto"/>
              </w:rPr>
            </w:pPr>
            <w:r>
              <w:rPr>
                <w:rFonts w:ascii="Arial" w:cs="Arial" w:eastAsia="Arial" w:hAnsi="Arial"/>
                <w:sz w:val="18"/>
                <w:szCs w:val="18"/>
                <w:color w:val="auto"/>
                <w:w w:val="89"/>
              </w:rPr>
              <w:t>40</w:t>
            </w:r>
          </w:p>
        </w:tc>
        <w:tc>
          <w:tcPr>
            <w:tcW w:w="134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ectPr>
          <w:pgSz w:w="11900" w:h="16838" w:orient="portrait"/>
          <w:cols w:equalWidth="0" w:num="1">
            <w:col w:w="11220"/>
          </w:cols>
          <w:pgMar w:left="320" w:top="891"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Yogesh K. Gupta, certify that:</w:t>
      </w:r>
    </w:p>
    <w:p>
      <w:pPr>
        <w:spacing w:after="0" w:line="25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Progress Software Corporation;</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20" w:firstLine="8"/>
        <w:spacing w:after="0" w:line="263" w:lineRule="auto"/>
        <w:tabs>
          <w:tab w:leader="none" w:pos="17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60" w:hanging="4"/>
        <w:spacing w:after="0" w:line="255" w:lineRule="auto"/>
        <w:tabs>
          <w:tab w:leader="none" w:pos="84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660" w:right="60" w:hanging="4"/>
        <w:spacing w:after="0" w:line="250" w:lineRule="auto"/>
        <w:tabs>
          <w:tab w:leader="none" w:pos="85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700" w:hanging="4"/>
        <w:spacing w:after="0" w:line="281" w:lineRule="auto"/>
        <w:tabs>
          <w:tab w:leader="none" w:pos="845"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right="80" w:hanging="4"/>
        <w:spacing w:after="0" w:line="255" w:lineRule="auto"/>
        <w:tabs>
          <w:tab w:leader="none" w:pos="855"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right="480" w:firstLine="8"/>
        <w:spacing w:after="0" w:line="308" w:lineRule="auto"/>
        <w:tabs>
          <w:tab w:leader="none" w:pos="17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660" w:right="100" w:hanging="4"/>
        <w:spacing w:after="0" w:line="258" w:lineRule="auto"/>
        <w:tabs>
          <w:tab w:leader="none" w:pos="835"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60" w:hanging="4"/>
        <w:spacing w:after="0" w:line="260" w:lineRule="auto"/>
        <w:tabs>
          <w:tab w:leader="none" w:pos="845"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July 7, 2023</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342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Yogesh K. Gupta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Anthony Folger, certify that:</w:t>
      </w:r>
    </w:p>
    <w:p>
      <w:pPr>
        <w:spacing w:after="0" w:line="25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Progress Software Corporation;</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20" w:firstLine="8"/>
        <w:spacing w:after="0" w:line="263" w:lineRule="auto"/>
        <w:tabs>
          <w:tab w:leader="none" w:pos="1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60" w:hanging="4"/>
        <w:spacing w:after="0" w:line="255" w:lineRule="auto"/>
        <w:tabs>
          <w:tab w:leader="none" w:pos="84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660" w:right="60" w:hanging="4"/>
        <w:spacing w:after="0" w:line="250" w:lineRule="auto"/>
        <w:tabs>
          <w:tab w:leader="none" w:pos="8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700" w:hanging="4"/>
        <w:spacing w:after="0" w:line="281" w:lineRule="auto"/>
        <w:tabs>
          <w:tab w:leader="none" w:pos="845"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right="80" w:hanging="4"/>
        <w:spacing w:after="0" w:line="255" w:lineRule="auto"/>
        <w:tabs>
          <w:tab w:leader="none" w:pos="8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right="480" w:firstLine="8"/>
        <w:spacing w:after="0" w:line="308" w:lineRule="auto"/>
        <w:tabs>
          <w:tab w:leader="none" w:pos="17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660" w:right="100" w:hanging="4"/>
        <w:spacing w:after="0" w:line="258" w:lineRule="auto"/>
        <w:tabs>
          <w:tab w:leader="none" w:pos="83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60" w:hanging="4"/>
        <w:spacing w:after="0" w:line="260" w:lineRule="auto"/>
        <w:tabs>
          <w:tab w:leader="none" w:pos="8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July 7, 2023</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ANTHONY FOLGER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861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Anthony Folger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Progress Software Corporation (the Company) for the three months ended May 31, 2023, as filed with the Securities and Exchange Commission on the date hereof (the Report), each of the undersigned, Yogesh K. Gupta, President and Chief Executive Officer, and Anthony Folger, Executive Vice President and Chief Financial Officer, of the Company, certifies, to the best knowledge and belief of the signatory, pursuant to 18 U.S.C. Section 1350, as adopted pursuant to Section 906 of the Sarbanes-Oxley Act of 2002, that:</w:t>
      </w:r>
    </w:p>
    <w:p>
      <w:pPr>
        <w:spacing w:after="0" w:line="198" w:lineRule="exact"/>
        <w:rPr>
          <w:sz w:val="20"/>
          <w:szCs w:val="20"/>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740" w:hanging="4"/>
        <w:spacing w:after="0" w:line="277" w:lineRule="auto"/>
        <w:tabs>
          <w:tab w:leader="none" w:pos="83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YOGESH K. GUPTA</w:t>
            </w:r>
          </w:p>
        </w:tc>
        <w:tc>
          <w:tcPr>
            <w:tcW w:w="1400" w:type="dxa"/>
            <w:vAlign w:val="bottom"/>
          </w:tcPr>
          <w:p>
            <w:pPr>
              <w:spacing w:after="0"/>
              <w:rPr>
                <w:sz w:val="20"/>
                <w:szCs w:val="20"/>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FOLGER</w:t>
            </w: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40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58"/>
        </w:trPr>
        <w:tc>
          <w:tcPr>
            <w:tcW w:w="4380" w:type="dxa"/>
            <w:vAlign w:val="bottom"/>
          </w:tcPr>
          <w:p>
            <w:pPr>
              <w:spacing w:after="0"/>
              <w:rPr>
                <w:sz w:val="20"/>
                <w:szCs w:val="20"/>
                <w:color w:val="auto"/>
              </w:rPr>
            </w:pPr>
            <w:r>
              <w:rPr>
                <w:rFonts w:ascii="Arial" w:cs="Arial" w:eastAsia="Arial" w:hAnsi="Arial"/>
                <w:sz w:val="18"/>
                <w:szCs w:val="18"/>
                <w:color w:val="auto"/>
              </w:rPr>
              <w:t>Date:   July 7, 2023</w:t>
            </w:r>
          </w:p>
        </w:tc>
        <w:tc>
          <w:tcPr>
            <w:tcW w:w="140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Date:   July 7,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2023-07-07T15:14:50Z</dcterms:created>
  <dcterms:modified xsi:type="dcterms:W3CDTF">2023-07-07T15:14:50Z</dcterms:modified>
</cp:coreProperties>
</file>