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6769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6769735"/>
                    </a:xfrm>
                    <a:prstGeom prst="rect">
                      <a:avLst/>
                    </a:prstGeom>
                    <a:noFill/>
                  </pic:spPr>
                </pic:pic>
              </a:graphicData>
            </a:graphic>
          </wp:anchor>
        </w:drawing>
      </w:r>
    </w:p>
    <w:p>
      <w:pPr>
        <w:spacing w:after="0" w:line="1247" w:lineRule="exact"/>
        <w:rPr>
          <w:sz w:val="24"/>
          <w:szCs w:val="24"/>
          <w:color w:val="auto"/>
        </w:rPr>
      </w:pPr>
    </w:p>
    <w:p>
      <w:pPr>
        <w:sectPr>
          <w:pgSz w:w="11900" w:h="16876" w:orient="portrait"/>
          <w:cols w:equalWidth="0" w:num="2">
            <w:col w:w="2300" w:space="260"/>
            <w:col w:w="852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Gupta Yogesh K</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280"/>
        <w:spacing w:after="0" w:line="384" w:lineRule="auto"/>
        <w:rPr>
          <w:sz w:val="20"/>
          <w:szCs w:val="20"/>
          <w:color w:val="auto"/>
        </w:rPr>
      </w:pPr>
      <w:r>
        <w:rPr>
          <w:rFonts w:ascii="Times New Roman" w:cs="Times New Roman" w:eastAsia="Times New Roman" w:hAnsi="Times New Roman"/>
          <w:sz w:val="16"/>
          <w:szCs w:val="16"/>
          <w:color w:val="0000FF"/>
        </w:rPr>
        <w:t>C/O PROGRESS SOFTWARE CORPORATION 15 WAYSIDE ROAD, SUITE 400</w:t>
      </w:r>
    </w:p>
    <w:p>
      <w:pPr>
        <w:spacing w:after="0" w:line="152"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BURLINGTON</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01803</w:t>
            </w:r>
          </w:p>
        </w:tc>
      </w:tr>
      <w:tr>
        <w:trPr>
          <w:trHeight w:val="151"/>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6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PROGRESS SOFTWARE CORP /MA </w:t>
              </w:r>
            </w:hyperlink>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324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PRGS </w:t>
            </w:r>
            <w:r>
              <w:rPr>
                <w:rFonts w:ascii="Times New Roman" w:cs="Times New Roman" w:eastAsia="Times New Roman" w:hAnsi="Times New Roman"/>
                <w:sz w:val="20"/>
                <w:szCs w:val="20"/>
                <w:color w:val="000000"/>
              </w:rPr>
              <w:t>]</w:t>
            </w:r>
          </w:p>
        </w:tc>
        <w:tc>
          <w:tcPr>
            <w:tcW w:w="5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2"/>
        </w:trPr>
        <w:tc>
          <w:tcPr>
            <w:tcW w:w="60" w:type="dxa"/>
            <w:vAlign w:val="bottom"/>
          </w:tcPr>
          <w:p>
            <w:pPr>
              <w:spacing w:after="0"/>
              <w:rPr>
                <w:sz w:val="9"/>
                <w:szCs w:val="9"/>
                <w:color w:val="auto"/>
              </w:rPr>
            </w:pPr>
          </w:p>
        </w:tc>
        <w:tc>
          <w:tcPr>
            <w:tcW w:w="3240" w:type="dxa"/>
            <w:vAlign w:val="bottom"/>
            <w:gridSpan w:val="2"/>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31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3"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4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310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219"/>
        </w:trPr>
        <w:tc>
          <w:tcPr>
            <w:tcW w:w="3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04/01/2026</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310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1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71" w:lineRule="exact"/>
        <w:rPr>
          <w:sz w:val="24"/>
          <w:szCs w:val="24"/>
          <w:color w:val="auto"/>
        </w:rPr>
      </w:pPr>
    </w:p>
    <w:p>
      <w:pPr>
        <w:sectPr>
          <w:pgSz w:w="11900" w:h="16876" w:orient="portrait"/>
          <w:cols w:equalWidth="0" w:num="2">
            <w:col w:w="3740" w:space="10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3"/>
                <w:szCs w:val="13"/>
                <w:color w:val="auto"/>
              </w:rPr>
            </w:pPr>
          </w:p>
        </w:tc>
        <w:tc>
          <w:tcPr>
            <w:tcW w:w="19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20" w:type="dxa"/>
            <w:vAlign w:val="bottom"/>
            <w:gridSpan w:val="2"/>
          </w:tcPr>
          <w:p>
            <w:pPr>
              <w:jc w:val="center"/>
              <w:ind w:left="529"/>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549"/>
              <w:spacing w:after="0"/>
              <w:rPr>
                <w:sz w:val="20"/>
                <w:szCs w:val="20"/>
                <w:color w:val="auto"/>
              </w:rPr>
            </w:pPr>
            <w:r>
              <w:rPr>
                <w:rFonts w:ascii="Times New Roman" w:cs="Times New Roman" w:eastAsia="Times New Roman" w:hAnsi="Times New Roman"/>
                <w:sz w:val="17"/>
                <w:szCs w:val="17"/>
                <w:color w:val="0000FF"/>
              </w:rPr>
              <w:t>04/01/2026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9"/>
              </w:rPr>
              <w:t>6,809</w:t>
            </w: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gridSpan w:val="2"/>
          </w:tcPr>
          <w:p>
            <w:pPr>
              <w:jc w:val="center"/>
              <w:ind w:left="12"/>
              <w:spacing w:after="0" w:line="312"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281,402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549"/>
              <w:spacing w:after="0"/>
              <w:rPr>
                <w:sz w:val="20"/>
                <w:szCs w:val="20"/>
                <w:color w:val="auto"/>
              </w:rPr>
            </w:pPr>
            <w:r>
              <w:rPr>
                <w:rFonts w:ascii="Times New Roman" w:cs="Times New Roman" w:eastAsia="Times New Roman" w:hAnsi="Times New Roman"/>
                <w:sz w:val="17"/>
                <w:szCs w:val="17"/>
                <w:color w:val="0000FF"/>
              </w:rPr>
              <w:t>04/01/2026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1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95"/>
              </w:rPr>
              <w:t>3,293</w:t>
            </w:r>
            <w:r>
              <w:rPr>
                <w:rFonts w:ascii="Times New Roman" w:cs="Times New Roman" w:eastAsia="Times New Roman" w:hAnsi="Times New Roman"/>
                <w:sz w:val="21"/>
                <w:szCs w:val="21"/>
                <w:color w:val="008000"/>
                <w:w w:val="95"/>
                <w:vertAlign w:val="superscript"/>
              </w:rPr>
              <w:t>(2)</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24.96</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278,109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549"/>
              <w:spacing w:after="0"/>
              <w:rPr>
                <w:sz w:val="20"/>
                <w:szCs w:val="20"/>
                <w:color w:val="auto"/>
              </w:rPr>
            </w:pPr>
            <w:r>
              <w:rPr>
                <w:rFonts w:ascii="Times New Roman" w:cs="Times New Roman" w:eastAsia="Times New Roman" w:hAnsi="Times New Roman"/>
                <w:sz w:val="17"/>
                <w:szCs w:val="17"/>
                <w:color w:val="0000FF"/>
              </w:rPr>
              <w:t>04/01/2026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9"/>
              </w:rPr>
              <w:t>7,349</w:t>
            </w: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gridSpan w:val="2"/>
          </w:tcPr>
          <w:p>
            <w:pPr>
              <w:jc w:val="center"/>
              <w:ind w:left="12"/>
              <w:spacing w:after="0" w:line="312"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285,458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549"/>
              <w:spacing w:after="0"/>
              <w:rPr>
                <w:sz w:val="20"/>
                <w:szCs w:val="20"/>
                <w:color w:val="auto"/>
              </w:rPr>
            </w:pPr>
            <w:r>
              <w:rPr>
                <w:rFonts w:ascii="Times New Roman" w:cs="Times New Roman" w:eastAsia="Times New Roman" w:hAnsi="Times New Roman"/>
                <w:sz w:val="17"/>
                <w:szCs w:val="17"/>
                <w:color w:val="0000FF"/>
              </w:rPr>
              <w:t>04/01/2026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1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95"/>
              </w:rPr>
              <w:t>3,554</w:t>
            </w:r>
            <w:r>
              <w:rPr>
                <w:rFonts w:ascii="Times New Roman" w:cs="Times New Roman" w:eastAsia="Times New Roman" w:hAnsi="Times New Roman"/>
                <w:sz w:val="21"/>
                <w:szCs w:val="21"/>
                <w:color w:val="008000"/>
                <w:w w:val="95"/>
                <w:vertAlign w:val="superscript"/>
              </w:rPr>
              <w:t>(3)</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24.96</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281,904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549"/>
              <w:spacing w:after="0"/>
              <w:rPr>
                <w:sz w:val="20"/>
                <w:szCs w:val="20"/>
                <w:color w:val="auto"/>
              </w:rPr>
            </w:pPr>
            <w:r>
              <w:rPr>
                <w:rFonts w:ascii="Times New Roman" w:cs="Times New Roman" w:eastAsia="Times New Roman" w:hAnsi="Times New Roman"/>
                <w:sz w:val="17"/>
                <w:szCs w:val="17"/>
                <w:color w:val="0000FF"/>
              </w:rPr>
              <w:t>04/01/2026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9"/>
              </w:rPr>
              <w:t>8,315</w:t>
            </w: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gridSpan w:val="2"/>
          </w:tcPr>
          <w:p>
            <w:pPr>
              <w:jc w:val="center"/>
              <w:ind w:left="12"/>
              <w:spacing w:after="0" w:line="312"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290,219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549"/>
              <w:spacing w:after="0"/>
              <w:rPr>
                <w:sz w:val="20"/>
                <w:szCs w:val="20"/>
                <w:color w:val="auto"/>
              </w:rPr>
            </w:pPr>
            <w:r>
              <w:rPr>
                <w:rFonts w:ascii="Times New Roman" w:cs="Times New Roman" w:eastAsia="Times New Roman" w:hAnsi="Times New Roman"/>
                <w:sz w:val="17"/>
                <w:szCs w:val="17"/>
                <w:color w:val="0000FF"/>
              </w:rPr>
              <w:t>04/01/2026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1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95"/>
              </w:rPr>
              <w:t>4,021</w:t>
            </w:r>
            <w:r>
              <w:rPr>
                <w:rFonts w:ascii="Times New Roman" w:cs="Times New Roman" w:eastAsia="Times New Roman" w:hAnsi="Times New Roman"/>
                <w:sz w:val="21"/>
                <w:szCs w:val="21"/>
                <w:color w:val="008000"/>
                <w:w w:val="95"/>
                <w:vertAlign w:val="superscript"/>
              </w:rPr>
              <w:t>(4)</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24.96</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286,198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40" w:type="dxa"/>
            <w:vAlign w:val="bottom"/>
            <w:gridSpan w:val="12"/>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90"/>
              <w:spacing w:after="0"/>
              <w:rPr>
                <w:sz w:val="20"/>
                <w:szCs w:val="20"/>
                <w:color w:val="auto"/>
              </w:rPr>
            </w:pPr>
            <w:r>
              <w:rPr>
                <w:rFonts w:ascii="Arial" w:cs="Arial" w:eastAsia="Arial" w:hAnsi="Arial"/>
                <w:sz w:val="12"/>
                <w:szCs w:val="12"/>
                <w:b w:val="1"/>
                <w:bCs w:val="1"/>
                <w:color w:val="auto"/>
                <w:w w:val="95"/>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18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6,809</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04/01/2026</w:t>
            </w:r>
          </w:p>
        </w:tc>
        <w:tc>
          <w:tcPr>
            <w:tcW w:w="1100" w:type="dxa"/>
            <w:vAlign w:val="bottom"/>
          </w:tcPr>
          <w:p>
            <w:pPr>
              <w:spacing w:after="0"/>
              <w:rPr>
                <w:sz w:val="5"/>
                <w:szCs w:val="5"/>
                <w:color w:val="auto"/>
              </w:rPr>
            </w:pPr>
          </w:p>
        </w:tc>
        <w:tc>
          <w:tcPr>
            <w:tcW w:w="62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6,809</w:t>
            </w:r>
          </w:p>
        </w:tc>
        <w:tc>
          <w:tcPr>
            <w:tcW w:w="7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jc w:val="center"/>
              <w:ind w:right="17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vMerge w:val="restart"/>
          </w:tcPr>
          <w:p>
            <w:pPr>
              <w:jc w:val="center"/>
              <w:ind w:left="120"/>
              <w:spacing w:after="0" w:line="143" w:lineRule="exact"/>
              <w:rPr>
                <w:sz w:val="20"/>
                <w:szCs w:val="20"/>
                <w:color w:val="auto"/>
              </w:rPr>
            </w:pPr>
            <w:r>
              <w:rPr>
                <w:rFonts w:ascii="Times New Roman" w:cs="Times New Roman" w:eastAsia="Times New Roman" w:hAnsi="Times New Roman"/>
                <w:sz w:val="13"/>
                <w:szCs w:val="13"/>
                <w:color w:val="0000FF"/>
                <w:w w:val="91"/>
              </w:rPr>
              <w:t>0</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18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(6)</w:t>
            </w: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7,349</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04/01/2026</w:t>
            </w:r>
          </w:p>
        </w:tc>
        <w:tc>
          <w:tcPr>
            <w:tcW w:w="1100" w:type="dxa"/>
            <w:vAlign w:val="bottom"/>
          </w:tcPr>
          <w:p>
            <w:pPr>
              <w:spacing w:after="0"/>
              <w:rPr>
                <w:sz w:val="5"/>
                <w:szCs w:val="5"/>
                <w:color w:val="auto"/>
              </w:rPr>
            </w:pPr>
          </w:p>
        </w:tc>
        <w:tc>
          <w:tcPr>
            <w:tcW w:w="62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7,349</w:t>
            </w:r>
          </w:p>
        </w:tc>
        <w:tc>
          <w:tcPr>
            <w:tcW w:w="7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jc w:val="center"/>
              <w:ind w:right="17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vMerge w:val="restart"/>
          </w:tcPr>
          <w:p>
            <w:pPr>
              <w:jc w:val="center"/>
              <w:ind w:left="140"/>
              <w:spacing w:after="0" w:line="143" w:lineRule="exact"/>
              <w:rPr>
                <w:sz w:val="20"/>
                <w:szCs w:val="20"/>
                <w:color w:val="auto"/>
              </w:rPr>
            </w:pPr>
            <w:r>
              <w:rPr>
                <w:rFonts w:ascii="Times New Roman" w:cs="Times New Roman" w:eastAsia="Times New Roman" w:hAnsi="Times New Roman"/>
                <w:sz w:val="13"/>
                <w:szCs w:val="13"/>
                <w:color w:val="0000FF"/>
              </w:rPr>
              <w:t>14,699</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(7)</w:t>
            </w:r>
          </w:p>
        </w:tc>
        <w:tc>
          <w:tcPr>
            <w:tcW w:w="18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(7)</w:t>
            </w: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8,315</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04/01/2026</w:t>
            </w:r>
          </w:p>
        </w:tc>
        <w:tc>
          <w:tcPr>
            <w:tcW w:w="1100" w:type="dxa"/>
            <w:vAlign w:val="bottom"/>
          </w:tcPr>
          <w:p>
            <w:pPr>
              <w:spacing w:after="0"/>
              <w:rPr>
                <w:sz w:val="5"/>
                <w:szCs w:val="5"/>
                <w:color w:val="auto"/>
              </w:rPr>
            </w:pPr>
          </w:p>
        </w:tc>
        <w:tc>
          <w:tcPr>
            <w:tcW w:w="62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8,315</w:t>
            </w:r>
          </w:p>
        </w:tc>
        <w:tc>
          <w:tcPr>
            <w:tcW w:w="7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jc w:val="center"/>
              <w:ind w:right="17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vMerge w:val="restart"/>
          </w:tcPr>
          <w:p>
            <w:pPr>
              <w:jc w:val="center"/>
              <w:ind w:left="140"/>
              <w:spacing w:after="0" w:line="143" w:lineRule="exact"/>
              <w:rPr>
                <w:sz w:val="20"/>
                <w:szCs w:val="20"/>
                <w:color w:val="auto"/>
              </w:rPr>
            </w:pPr>
            <w:r>
              <w:rPr>
                <w:rFonts w:ascii="Times New Roman" w:cs="Times New Roman" w:eastAsia="Times New Roman" w:hAnsi="Times New Roman"/>
                <w:sz w:val="13"/>
                <w:szCs w:val="13"/>
                <w:color w:val="0000FF"/>
              </w:rPr>
              <w:t>33,260</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-2818765</wp:posOffset>
            </wp:positionV>
            <wp:extent cx="29210" cy="2823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8238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40" w:right="40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by Progress Software Corporation (the "Company") to pay the tax withholding obligations of the Reporting Person upon the vesting of restricted stock units granted to the Reporting Person on January 19, 2023.</w:t>
      </w:r>
    </w:p>
    <w:p>
      <w:pPr>
        <w:spacing w:after="0" w:line="15" w:lineRule="exact"/>
        <w:rPr>
          <w:rFonts w:ascii="Times New Roman" w:cs="Times New Roman" w:eastAsia="Times New Roman" w:hAnsi="Times New Roman"/>
          <w:sz w:val="13"/>
          <w:szCs w:val="13"/>
          <w:color w:val="008000"/>
        </w:rPr>
      </w:pPr>
    </w:p>
    <w:p>
      <w:pPr>
        <w:ind w:left="40" w:right="40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by the Company to pay the tax withholding obligations of the Reporting Person upon the vesting of restricted stock units granted to the Reporting Person on January 18, 2024.</w:t>
      </w:r>
    </w:p>
    <w:p>
      <w:pPr>
        <w:spacing w:after="0" w:line="15" w:lineRule="exact"/>
        <w:rPr>
          <w:rFonts w:ascii="Times New Roman" w:cs="Times New Roman" w:eastAsia="Times New Roman" w:hAnsi="Times New Roman"/>
          <w:sz w:val="13"/>
          <w:szCs w:val="13"/>
          <w:color w:val="008000"/>
        </w:rPr>
      </w:pPr>
    </w:p>
    <w:p>
      <w:pPr>
        <w:ind w:left="40" w:right="40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by the Company to pay the tax withholding obligations of the Reporting Person upon the vesting of restricted stock units granted to the Reporting Person on January 23, 2025.</w:t>
      </w:r>
    </w:p>
    <w:p>
      <w:pPr>
        <w:spacing w:after="0" w:line="15" w:lineRule="exact"/>
        <w:rPr>
          <w:rFonts w:ascii="Times New Roman" w:cs="Times New Roman" w:eastAsia="Times New Roman" w:hAnsi="Times New Roman"/>
          <w:sz w:val="13"/>
          <w:szCs w:val="13"/>
          <w:color w:val="008000"/>
        </w:rPr>
      </w:pPr>
    </w:p>
    <w:p>
      <w:pPr>
        <w:ind w:left="40" w:right="32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19, 2023, the Reporting Person was granted 40,849 restricted stock units pursuant to the Company's 2008 Stock Option and Incentive Plan (as amended and restated, the "Plan"). The restricted stock units vest in six equal semiannual installments beginning October 1, 2023, subject to the continued employment of the Reporting Person with the Company.</w:t>
      </w:r>
    </w:p>
    <w:p>
      <w:pPr>
        <w:spacing w:after="0" w:line="15" w:lineRule="exact"/>
        <w:rPr>
          <w:rFonts w:ascii="Times New Roman" w:cs="Times New Roman" w:eastAsia="Times New Roman" w:hAnsi="Times New Roman"/>
          <w:sz w:val="13"/>
          <w:szCs w:val="13"/>
          <w:color w:val="008000"/>
        </w:rPr>
      </w:pPr>
    </w:p>
    <w:p>
      <w:pPr>
        <w:ind w:left="40" w:right="44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18, 2024, the Reporting Person was granted 44,059 restricted stock units pursuant to the Plan. The restricted stock units vest in six equal semiannual installments beginning October 1, 2024, subject to the continued employment of the Reporting Person with the Company.</w:t>
      </w:r>
    </w:p>
    <w:p>
      <w:pPr>
        <w:spacing w:after="0" w:line="15" w:lineRule="exact"/>
        <w:rPr>
          <w:rFonts w:ascii="Times New Roman" w:cs="Times New Roman" w:eastAsia="Times New Roman" w:hAnsi="Times New Roman"/>
          <w:sz w:val="13"/>
          <w:szCs w:val="13"/>
          <w:color w:val="008000"/>
        </w:rPr>
      </w:pPr>
    </w:p>
    <w:p>
      <w:pPr>
        <w:ind w:left="40" w:right="44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23, 2025, the Reporting Person was granted 49,890 restricted stock units pursuant to the Plan. The restricted stock units vest in six equal semiannual installments beginning October 1, 2025, subject to the continued employment of the Reporting Person with the Company.</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620" w:type="dxa"/>
            <w:vAlign w:val="bottom"/>
          </w:tcPr>
          <w:p>
            <w:pPr>
              <w:spacing w:after="0"/>
              <w:rPr>
                <w:sz w:val="20"/>
                <w:szCs w:val="20"/>
                <w:color w:val="auto"/>
              </w:rPr>
            </w:pPr>
            <w:r>
              <w:rPr>
                <w:rFonts w:ascii="Times New Roman" w:cs="Times New Roman" w:eastAsia="Times New Roman" w:hAnsi="Times New Roman"/>
                <w:sz w:val="17"/>
                <w:szCs w:val="17"/>
                <w:color w:val="0000FF"/>
                <w:w w:val="95"/>
              </w:rPr>
              <w:t>YuFan Stephanie Wang,</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04/03/2026</w:t>
            </w:r>
          </w:p>
        </w:tc>
      </w:tr>
      <w:tr>
        <w:trPr>
          <w:trHeight w:val="20"/>
        </w:trPr>
        <w:tc>
          <w:tcPr>
            <w:tcW w:w="1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ectPr>
          <w:pgSz w:w="11900" w:h="16876" w:orient="portrait"/>
          <w:cols w:equalWidth="0" w:num="1">
            <w:col w:w="11080"/>
          </w:cols>
          <w:pgMar w:left="460" w:top="216" w:right="359" w:bottom="0" w:gutter="0" w:footer="0" w:header="0"/>
          <w:type w:val="continuous"/>
        </w:sectPr>
      </w:pPr>
    </w:p>
    <w:bookmarkStart w:id="1" w:name="page2"/>
    <w:bookmarkEnd w:id="1"/>
    <w:p>
      <w:pPr>
        <w:ind w:left="656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-8255</wp:posOffset>
            </wp:positionV>
            <wp:extent cx="7213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1360" cy="8255"/>
                    </a:xfrm>
                    <a:prstGeom prst="rect">
                      <a:avLst/>
                    </a:prstGeom>
                    <a:noFill/>
                  </pic:spPr>
                </pic:pic>
              </a:graphicData>
            </a:graphic>
          </wp:anchor>
        </w:drawing>
      </w:r>
    </w:p>
    <w:p>
      <w:pPr>
        <w:spacing w:after="0" w:line="44"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459" w:firstLine="3"/>
        <w:spacing w:after="0" w:line="339" w:lineRule="auto"/>
        <w:tabs>
          <w:tab w:leader="none" w:pos="13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01277" TargetMode="External"/><Relationship Id="rId14" Type="http://schemas.openxmlformats.org/officeDocument/2006/relationships/hyperlink" Target="http://www.sec.gov/cgi-bin/browse-edgar?action=getcompany&amp;CIK=00008761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2026-04-03T15:22:42Z</dcterms:created>
  <dcterms:modified xsi:type="dcterms:W3CDTF">2026-04-03T15:22:42Z</dcterms:modified>
</cp:coreProperties>
</file>