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24"/>
        </w:rPr>
        <w:t xml:space="preserve">March 30,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48"/>
        </w:rPr>
        <w:t>Progress Software Corporation</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tbl>
      <w:tblPr>
        <w:tblW w:w="8893" w:type="dxa"/>
        <w:jc w:val="center"/>
        <w:tblInd w:w="0" w:type="dxa"/>
        <w:tblLayout w:type="fixed"/>
        <w:tblCellMar>
          <w:top w:w="28" w:type="dxa"/>
          <w:left w:w="28" w:type="dxa"/>
          <w:bottom w:w="28" w:type="dxa"/>
          <w:right w:w="28" w:type="dxa"/>
        </w:tblCellMar>
      </w:tblPr>
      <w:tblGrid>
        <w:gridCol w:w="1549"/>
        <w:gridCol w:w="1360"/>
        <w:gridCol w:w="1380"/>
        <w:gridCol w:w="642"/>
        <w:gridCol w:w="642"/>
        <w:gridCol w:w="65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0-19417</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04-2746201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668" w:type="dxa"/>
        <w:jc w:val="center"/>
        <w:tblInd w:w="0" w:type="dxa"/>
        <w:tblLayout w:type="fixed"/>
        <w:tblCellMar>
          <w:top w:w="28" w:type="dxa"/>
          <w:left w:w="28" w:type="dxa"/>
          <w:bottom w:w="28" w:type="dxa"/>
          <w:right w:w="28" w:type="dxa"/>
        </w:tblCellMar>
      </w:tblPr>
      <w:tblGrid>
        <w:gridCol w:w="883"/>
        <w:gridCol w:w="777"/>
        <w:gridCol w:w="777"/>
        <w:gridCol w:w="777"/>
        <w:gridCol w:w="777"/>
        <w:gridCol w:w="793"/>
        <w:gridCol w:w="259"/>
        <w:gridCol w:w="259"/>
        <w:gridCol w:w="366"/>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78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15 Wayside Road, Suite 400, Burlington, Massachusetts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01803</w:t>
            </w:r>
          </w:p>
        </w:tc>
      </w:tr>
      <w:tr>
        <w:trPr/>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80" w:after="283"/>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(781) 280-4000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21" w:type="dxa"/>
        <w:jc w:val="center"/>
        <w:tblInd w:w="0" w:type="dxa"/>
        <w:tblLayout w:type="fixed"/>
        <w:tblCellMar>
          <w:top w:w="28" w:type="dxa"/>
          <w:left w:w="28" w:type="dxa"/>
          <w:bottom w:w="28" w:type="dxa"/>
          <w:right w:w="28" w:type="dxa"/>
        </w:tblCellMar>
      </w:tblPr>
      <w:tblGrid>
        <w:gridCol w:w="1205"/>
        <w:gridCol w:w="1062"/>
        <w:gridCol w:w="1077"/>
        <w:gridCol w:w="109"/>
        <w:gridCol w:w="109"/>
        <w:gridCol w:w="109"/>
        <w:gridCol w:w="484"/>
        <w:gridCol w:w="484"/>
        <w:gridCol w:w="486"/>
        <w:gridCol w:w="109"/>
        <w:gridCol w:w="109"/>
        <w:gridCol w:w="109"/>
        <w:gridCol w:w="956"/>
        <w:gridCol w:w="956"/>
        <w:gridCol w:w="135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30, 2026, Progress Software Corporation ("Progress") issued a press release announcing its financial results for the fiscal first quarter ended February 28, 2026. A copy of the press release is attached to this Current Report on Form 8-K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liability of that Section, and shall not be incorporated by reference into any other filing by Progress under the Securities Act of 1933, as amended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press release attached hereto as Exhibit 99.1, the supplemental data attached as Exhibit 99.2 to this Current Report will be available on the Progress website within the investor relations section prior to the live 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99.2, shall not be deemed "filed" for purposes of Section 18 of the Exchange Act, or otherwise subject to the liability of that Section, and shall not be incorporated by reference into any other filing by Progress under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12026earningsr.htm">
              <w:r>
                <w:rPr>
                  <w:rStyle w:val="InternetLink"/>
                  <w:rFonts w:ascii="Times New Roman;serif" w:hAnsi="Times New Roman;serif"/>
                  <w:b w:val="false"/>
                  <w:color w:val="0000FF"/>
                  <w:sz w:val="20"/>
                  <w:u w:val="single"/>
                </w:rPr>
                <w:t>Press release issued by Progress Software Corporation dated March 30,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supplementaldeck.htm">
              <w:r>
                <w:rPr>
                  <w:rStyle w:val="InternetLink"/>
                  <w:rFonts w:ascii="Times New Roman;serif" w:hAnsi="Times New Roman;serif"/>
                  <w:b w:val="false"/>
                  <w:color w:val="0000FF"/>
                  <w:sz w:val="20"/>
                  <w:u w:val="single"/>
                </w:rPr>
                <w:t>Q1 2026 Supplemental Data</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27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405"/>
        <w:gridCol w:w="405"/>
        <w:gridCol w:w="405"/>
        <w:gridCol w:w="614"/>
        <w:gridCol w:w="614"/>
        <w:gridCol w:w="88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3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FOLGER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Folger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013" w:type="dxa"/>
        <w:jc w:val="left"/>
        <w:tblInd w:w="0" w:type="dxa"/>
        <w:tblLayout w:type="fixed"/>
        <w:tblCellMar>
          <w:top w:w="28" w:type="dxa"/>
          <w:left w:w="28" w:type="dxa"/>
          <w:bottom w:w="28" w:type="dxa"/>
          <w:right w:w="28" w:type="dxa"/>
        </w:tblCellMar>
      </w:tblPr>
      <w:tblGrid>
        <w:gridCol w:w="906"/>
        <w:gridCol w:w="797"/>
        <w:gridCol w:w="798"/>
        <w:gridCol w:w="109"/>
        <w:gridCol w:w="109"/>
        <w:gridCol w:w="109"/>
        <w:gridCol w:w="346"/>
        <w:gridCol w:w="346"/>
        <w:gridCol w:w="493"/>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5240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33FF"/>
          <w:sz w:val="24"/>
        </w:rPr>
      </w:pPr>
      <w:r>
        <w:rPr>
          <w:rFonts w:ascii="Times New Roman;serif" w:hAnsi="Times New Roman;serif"/>
          <w:b/>
          <w:color w:val="0033FF"/>
          <w:sz w:val="24"/>
        </w:rPr>
        <w:t>P R E S S A N N O U N C E M E N T</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Progress Software Announces First Quarter</w:t>
      </w:r>
      <w:r>
        <w:rPr>
          <w:color w:val="000000"/>
        </w:rPr>
        <w:t xml:space="preserve"> </w:t>
      </w:r>
      <w:r>
        <w:rPr>
          <w:rFonts w:ascii="Times New Roman;serif" w:hAnsi="Times New Roman;serif"/>
          <w:b/>
          <w:color w:val="000000"/>
          <w:sz w:val="28"/>
        </w:rPr>
        <w:t xml:space="preserve">2026 Financial Results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Revenue Growth 4%, Exceptional Margins and Cash Flow;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Debt Paydown and Buybacks Continue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BURLINGTON, Mass., March 30, 2026</w:t>
      </w:r>
      <w:r>
        <w:rPr>
          <w:color w:val="000000"/>
        </w:rPr>
        <w:t xml:space="preserve"> — </w:t>
      </w:r>
      <w:r>
        <w:rPr>
          <w:rFonts w:ascii="Times New Roman;serif" w:hAnsi="Times New Roman;serif"/>
          <w:b w:val="false"/>
          <w:color w:val="000000"/>
          <w:sz w:val="20"/>
        </w:rPr>
        <w:t>Progress Software (Nasdaq: PRGS), the trusted provider of AI-powered digital experience and infrastructure software, today announced financial results for its fiscal first quarter ended February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Quarter 2026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$248 million increased 4% year-over-year on an actual currency basis and 2% on a constant currency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Annualized Recurring Revenue ("ARR") of $863 million increased 2% year-over-year on a constant currency basis.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margin was 19% and non-GAAP operating margin was 41%.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Diluted earnings per share was $0.53 compared to $0.24 in the same quarter last year, an increase of 121%.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diluted earnings per share was $1.60 compared to $1.31 in the same quarter last year, an increase of 22%.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"We’re extremely pleased that the momentum from 2025 is carrying over into FY26," said Yogesh Gupta, CEO of Progress Software. "Revenue growth, margins, collections, and business operations continued strong through the first quarter. Our Q1 results reflect the durability of our model - driving profitable growth, generating robust cash flow, strengthening our balance sheet, and returning capital to shareholders through buybacks, as customers continue to derive measurable business value from the AI capabilities across our product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financial highlights included:</w:t>
      </w:r>
    </w:p>
    <w:tbl>
      <w:tblPr>
        <w:tblW w:w="10205" w:type="dxa"/>
        <w:jc w:val="center"/>
        <w:tblInd w:w="0" w:type="dxa"/>
        <w:tblLayout w:type="fixed"/>
        <w:tblCellMar>
          <w:top w:w="28" w:type="dxa"/>
          <w:left w:w="28" w:type="dxa"/>
          <w:bottom w:w="28" w:type="dxa"/>
          <w:right w:w="28" w:type="dxa"/>
        </w:tblCellMar>
      </w:tblPr>
      <w:tblGrid>
        <w:gridCol w:w="554"/>
        <w:gridCol w:w="332"/>
        <w:gridCol w:w="334"/>
        <w:gridCol w:w="211"/>
        <w:gridCol w:w="844"/>
        <w:gridCol w:w="302"/>
        <w:gridCol w:w="109"/>
        <w:gridCol w:w="109"/>
        <w:gridCol w:w="109"/>
        <w:gridCol w:w="211"/>
        <w:gridCol w:w="829"/>
        <w:gridCol w:w="272"/>
        <w:gridCol w:w="109"/>
        <w:gridCol w:w="109"/>
        <w:gridCol w:w="109"/>
        <w:gridCol w:w="233"/>
        <w:gridCol w:w="233"/>
        <w:gridCol w:w="533"/>
        <w:gridCol w:w="109"/>
        <w:gridCol w:w="109"/>
        <w:gridCol w:w="109"/>
        <w:gridCol w:w="211"/>
        <w:gridCol w:w="844"/>
        <w:gridCol w:w="302"/>
        <w:gridCol w:w="109"/>
        <w:gridCol w:w="109"/>
        <w:gridCol w:w="109"/>
        <w:gridCol w:w="211"/>
        <w:gridCol w:w="829"/>
        <w:gridCol w:w="272"/>
        <w:gridCol w:w="109"/>
        <w:gridCol w:w="109"/>
        <w:gridCol w:w="109"/>
        <w:gridCol w:w="205"/>
        <w:gridCol w:w="205"/>
        <w:gridCol w:w="603"/>
      </w:tblGrid>
      <w:tr>
        <w:trPr/>
        <w:tc>
          <w:tcPr>
            <w:tcW w:w="55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 and per share amounts)</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247,799</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247,799</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46,465</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102,185</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bps</w:t>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22,813</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68,300</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0.53</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operations (GAAP) /</w:t>
              <w:br/>
              <w:t>Adjusted free cash flow (non-GAAP) / Unlevered free cash flow (non-GAAP)</w:t>
            </w:r>
          </w:p>
        </w:tc>
        <w:tc>
          <w:tcPr>
            <w:tcW w:w="211"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98,626</w:t>
            </w:r>
            <w:r>
              <w:rPr>
                <w:color w:val="000000"/>
              </w:rPr>
              <w:t> </w:t>
            </w:r>
          </w:p>
        </w:tc>
        <w:tc>
          <w:tcPr>
            <w:tcW w:w="302"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272"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33"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98,845</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4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0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29"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7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533"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111,042</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w:t>
      </w:r>
      <w:r>
        <w:rPr>
          <w:rFonts w:ascii="Times New Roman;serif" w:hAnsi="Times New Roman;serif"/>
          <w:b w:val="false"/>
          <w:i/>
          <w:color w:val="000000"/>
          <w:sz w:val="20"/>
        </w:rPr>
        <w:t>Important Information Regarding Non-GAAP Financial Measures, Liquidity Measures, and Select Performance Metrics</w:t>
      </w:r>
      <w:r>
        <w:rPr>
          <w:color w:val="000000"/>
        </w:rPr>
        <w:t xml:space="preserve"> </w:t>
      </w:r>
      <w:r>
        <w:rPr>
          <w:rFonts w:ascii="Times New Roman;serif" w:hAnsi="Times New Roman;serif"/>
          <w:b w:val="false"/>
          <w:color w:val="000000"/>
          <w:sz w:val="20"/>
        </w:rPr>
        <w:t>and a reconciliation of non-GAAP adjustments to Progress' GAAP financial results at the end of this 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fiscal first quarter 2026 metrics and recent results included: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and cash equivalents were $113.2 million at the end of the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Days sales outstanding was 52 days compared to 48 days in the fiscal first quarter of 2025 and 73 days in the fiscal fourth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Anthony Folger, Progress CFO, said: "We delivered particularly strong margins and cash flow in the first quarter and our balance sheet is stronger and better able to support our investments in long-term value creation."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2026 Business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provides the following guidance for the fiscal year ending November 30, 2026 and the fiscal second quarter ending May 31, 2026:</w:t>
      </w:r>
    </w:p>
    <w:tbl>
      <w:tblPr>
        <w:tblW w:w="10205" w:type="dxa"/>
        <w:jc w:val="center"/>
        <w:tblInd w:w="0" w:type="dxa"/>
        <w:tblLayout w:type="fixed"/>
        <w:tblCellMar>
          <w:top w:w="28" w:type="dxa"/>
          <w:left w:w="28" w:type="dxa"/>
          <w:bottom w:w="28" w:type="dxa"/>
          <w:right w:w="28" w:type="dxa"/>
        </w:tblCellMar>
      </w:tblPr>
      <w:tblGrid>
        <w:gridCol w:w="1631"/>
        <w:gridCol w:w="1378"/>
        <w:gridCol w:w="1387"/>
        <w:gridCol w:w="236"/>
        <w:gridCol w:w="236"/>
        <w:gridCol w:w="602"/>
        <w:gridCol w:w="163"/>
        <w:gridCol w:w="163"/>
        <w:gridCol w:w="163"/>
        <w:gridCol w:w="245"/>
        <w:gridCol w:w="245"/>
        <w:gridCol w:w="683"/>
        <w:gridCol w:w="109"/>
        <w:gridCol w:w="109"/>
        <w:gridCol w:w="109"/>
        <w:gridCol w:w="244"/>
        <w:gridCol w:w="239"/>
        <w:gridCol w:w="596"/>
        <w:gridCol w:w="150"/>
        <w:gridCol w:w="150"/>
        <w:gridCol w:w="150"/>
        <w:gridCol w:w="245"/>
        <w:gridCol w:w="245"/>
        <w:gridCol w:w="727"/>
      </w:tblGrid>
      <w:tr>
        <w:trPr/>
        <w:tc>
          <w:tcPr>
            <w:tcW w:w="163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FY 2026 Guidance</w:t>
              <w:b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Prior FY 2026 Guidance </w:t>
              <w:br/>
              <w:t>(January 20, 2026)</w:t>
            </w:r>
          </w:p>
        </w:tc>
      </w:tr>
      <w:tr>
        <w:trPr/>
        <w:tc>
          <w:tcPr>
            <w:tcW w:w="4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 and per share amounts)</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$988 - $1,000</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$988 - $1,000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 $1,000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 $1,000</w:t>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$1.71 - $1.87</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$5.91 - $6.03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 $1.91</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 $5.96</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 - 17%</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- 17%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operations (GAAP) /</w:t>
              <w:br/>
              <w:t>Adjusted free cash flow (non-GAAP) / Unlevered free cash flow (non-GAAP)</w:t>
            </w:r>
          </w:p>
        </w:tc>
        <w:tc>
          <w:tcPr>
            <w:tcW w:w="1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$266 - $278</w:t>
            </w:r>
          </w:p>
        </w:tc>
        <w:tc>
          <w:tcPr>
            <w:tcW w:w="4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$263 - $275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 $277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 $274</w:t>
            </w:r>
          </w:p>
        </w:tc>
      </w:tr>
      <w:tr>
        <w:trPr/>
        <w:tc>
          <w:tcPr>
            <w:tcW w:w="4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74"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$315 - $326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 $326</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5753" w:type="dxa"/>
        <w:jc w:val="center"/>
        <w:tblInd w:w="0" w:type="dxa"/>
        <w:tblLayout w:type="fixed"/>
        <w:tblCellMar>
          <w:top w:w="28" w:type="dxa"/>
          <w:left w:w="28" w:type="dxa"/>
          <w:bottom w:w="28" w:type="dxa"/>
          <w:right w:w="28" w:type="dxa"/>
        </w:tblCellMar>
      </w:tblPr>
      <w:tblGrid>
        <w:gridCol w:w="1013"/>
        <w:gridCol w:w="894"/>
        <w:gridCol w:w="898"/>
        <w:gridCol w:w="393"/>
        <w:gridCol w:w="393"/>
        <w:gridCol w:w="399"/>
        <w:gridCol w:w="178"/>
        <w:gridCol w:w="178"/>
        <w:gridCol w:w="178"/>
        <w:gridCol w:w="359"/>
        <w:gridCol w:w="359"/>
        <w:gridCol w:w="511"/>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 Guidance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 $246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 $246</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 $0.41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 $1.53</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current exchange rates, the expected positive currency translation impact on our: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Fiscal year 2026 business outlook compared to 2025 exchange rates is approximately $9.4 million on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and non-GAAP diluted earnings per share for fiscal year 2026 is approximately $0.10.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Fiscal Q2 2026 business outlook compared to 2025 exchange rates is approximately $2.6 million on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and non-GAAP diluted earnings per share for fiscal Q2 2026 is approximately $0.03.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that there are changes in exchange rates versus the current environment and/or our expectations, this may have an impact on Progress' business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Progress will hold a conference call to review its financial results for the fiscal first quarter of 2026 at 5:00 p.m. ET on Monday, March 30, 2026. Participants must register for the conference call here:</w:t>
      </w:r>
      <w:r>
        <w:rPr>
          <w:color w:val="0E32E1"/>
        </w:rPr>
        <w:t xml:space="preserve"> </w:t>
      </w:r>
      <w:r>
        <w:rPr>
          <w:rFonts w:ascii="Times New Roman;serif" w:hAnsi="Times New Roman;serif"/>
          <w:b w:val="false"/>
          <w:color w:val="0E32E1"/>
          <w:sz w:val="20"/>
          <w:u w:val="single"/>
        </w:rPr>
        <w:t>https://register-conf.media-server.com/register/BI542715e40bbb4fada1a15d15f1d523e3</w:t>
      </w:r>
      <w:r>
        <w:rPr>
          <w:rFonts w:ascii="Times New Roman;serif" w:hAnsi="Times New Roman;serif"/>
          <w:b w:val="false"/>
          <w:color w:val="000000"/>
          <w:sz w:val="20"/>
        </w:rPr>
        <w:t xml:space="preserve">. The webcast can be accessed at: </w:t>
      </w:r>
      <w:r>
        <w:rPr>
          <w:rFonts w:ascii="Times New Roman;serif" w:hAnsi="Times New Roman;serif"/>
          <w:b w:val="false"/>
          <w:color w:val="0E32E1"/>
          <w:sz w:val="20"/>
          <w:u w:val="single"/>
        </w:rPr>
        <w:t>https://edge.media-server.com/mmc/p/p8chxb6v</w:t>
      </w:r>
      <w:r>
        <w:rPr>
          <w:rFonts w:ascii="Times New Roman;serif" w:hAnsi="Times New Roman;serif"/>
          <w:b w:val="false"/>
          <w:color w:val="000000"/>
          <w:sz w:val="20"/>
        </w:rPr>
        <w:t xml:space="preserve">. The conference call will include comments followed by questions and answers. Attendees must register for the webcast and an archived version of the conference call and supporting materials will be available on the Progress website within the investor relations section after the live conference call.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Progress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Progress Software (Nasdaq: PRGS) empowers organizations to achieve transformational success in the face of disruptive change. Our software enables our customers to develop, deploy and manage responsible AI-powered applications and personalized digital experiences with agility and ease. Businesses of all sizes get a trusted provider in Progress, with the products, expertise and vision they need to turn AI disruption into a competitive advantage. Millions of developers and technologists at hundreds of thousands of organizations depend on Progress every day. Learn more at </w:t>
      </w:r>
      <w:r>
        <w:rPr>
          <w:rFonts w:ascii="Times New Roman;serif" w:hAnsi="Times New Roman;serif"/>
          <w:b w:val="false"/>
          <w:color w:val="0E32E1"/>
          <w:sz w:val="20"/>
          <w:u w:val="single"/>
        </w:rPr>
        <w:t>www.progress.com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and Progress Software are trademarks or registered trademarks of Progress Software Corporation and/or its subsidiaries or affiliates in the U.S. and other countries. Any other names contained herein may be trademarks of their respective owners.</w:t>
      </w:r>
    </w:p>
    <w:tbl>
      <w:tblPr>
        <w:tblW w:w="4845" w:type="dxa"/>
        <w:jc w:val="center"/>
        <w:tblInd w:w="0" w:type="dxa"/>
        <w:tblLayout w:type="fixed"/>
        <w:tblCellMar>
          <w:top w:w="28" w:type="dxa"/>
          <w:left w:w="28" w:type="dxa"/>
          <w:bottom w:w="28" w:type="dxa"/>
          <w:right w:w="28" w:type="dxa"/>
        </w:tblCellMar>
      </w:tblPr>
      <w:tblGrid>
        <w:gridCol w:w="1161"/>
        <w:gridCol w:w="850"/>
        <w:gridCol w:w="855"/>
        <w:gridCol w:w="109"/>
        <w:gridCol w:w="109"/>
        <w:gridCol w:w="109"/>
        <w:gridCol w:w="538"/>
        <w:gridCol w:w="460"/>
        <w:gridCol w:w="654"/>
      </w:tblGrid>
      <w:tr>
        <w:trPr/>
        <w:tc>
          <w:tcPr>
            <w:tcW w:w="116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Press Contact:</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Micciche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Young</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+1 781 850 8450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+1 781 280 4000</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Investor-Relations@progress.com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PR@progress.com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9909" w:type="dxa"/>
        <w:jc w:val="left"/>
        <w:tblInd w:w="0" w:type="dxa"/>
        <w:tblLayout w:type="fixed"/>
        <w:tblCellMar>
          <w:top w:w="28" w:type="dxa"/>
          <w:left w:w="28" w:type="dxa"/>
          <w:bottom w:w="28" w:type="dxa"/>
          <w:right w:w="28" w:type="dxa"/>
        </w:tblCellMar>
      </w:tblPr>
      <w:tblGrid>
        <w:gridCol w:w="1584"/>
        <w:gridCol w:w="1392"/>
        <w:gridCol w:w="1403"/>
        <w:gridCol w:w="322"/>
        <w:gridCol w:w="1101"/>
        <w:gridCol w:w="166"/>
        <w:gridCol w:w="109"/>
        <w:gridCol w:w="109"/>
        <w:gridCol w:w="109"/>
        <w:gridCol w:w="322"/>
        <w:gridCol w:w="1101"/>
        <w:gridCol w:w="166"/>
        <w:gridCol w:w="109"/>
        <w:gridCol w:w="109"/>
        <w:gridCol w:w="109"/>
        <w:gridCol w:w="233"/>
        <w:gridCol w:w="233"/>
        <w:gridCol w:w="533"/>
        <w:gridCol w:w="109"/>
        <w:gridCol w:w="109"/>
        <w:gridCol w:w="109"/>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SaaS, and professional services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software licenses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revenue</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191,784 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217 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108 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377" w:type="dxa"/>
        <w:jc w:val="left"/>
        <w:tblInd w:w="0" w:type="dxa"/>
        <w:tblLayout w:type="fixed"/>
        <w:tblCellMar>
          <w:top w:w="28" w:type="dxa"/>
          <w:left w:w="28" w:type="dxa"/>
          <w:bottom w:w="28" w:type="dxa"/>
          <w:right w:w="28" w:type="dxa"/>
        </w:tblCellMar>
      </w:tblPr>
      <w:tblGrid>
        <w:gridCol w:w="729"/>
        <w:gridCol w:w="640"/>
        <w:gridCol w:w="640"/>
        <w:gridCol w:w="431"/>
        <w:gridCol w:w="1422"/>
        <w:gridCol w:w="240"/>
        <w:gridCol w:w="240"/>
        <w:gridCol w:w="240"/>
        <w:gridCol w:w="240"/>
        <w:gridCol w:w="431"/>
        <w:gridCol w:w="1422"/>
        <w:gridCol w:w="240"/>
        <w:gridCol w:w="240"/>
        <w:gridCol w:w="240"/>
        <w:gridCol w:w="240"/>
        <w:gridCol w:w="240"/>
        <w:gridCol w:w="240"/>
        <w:gridCol w:w="563"/>
        <w:gridCol w:w="109"/>
        <w:gridCol w:w="109"/>
        <w:gridCol w:w="109"/>
        <w:gridCol w:w="109"/>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7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is included in the condensed consolidated statements of operations,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26 </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7812" w:type="dxa"/>
        <w:jc w:val="left"/>
        <w:tblInd w:w="0" w:type="dxa"/>
        <w:tblLayout w:type="fixed"/>
        <w:tblCellMar>
          <w:top w:w="28" w:type="dxa"/>
          <w:left w:w="28" w:type="dxa"/>
          <w:bottom w:w="28" w:type="dxa"/>
          <w:right w:w="28" w:type="dxa"/>
        </w:tblCellMar>
      </w:tblPr>
      <w:tblGrid>
        <w:gridCol w:w="1500"/>
        <w:gridCol w:w="1317"/>
        <w:gridCol w:w="1323"/>
        <w:gridCol w:w="259"/>
        <w:gridCol w:w="1198"/>
        <w:gridCol w:w="133"/>
        <w:gridCol w:w="109"/>
        <w:gridCol w:w="109"/>
        <w:gridCol w:w="109"/>
        <w:gridCol w:w="276"/>
        <w:gridCol w:w="1278"/>
        <w:gridCol w:w="201"/>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current portion</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1,858,830 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non-current portion</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2,394,774 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 portion, net</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portion</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809,734 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portion</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 portion</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 portion, net</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2,394,774 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pPr>
      <w:r>
        <w:rPr>
          <w:rFonts w:ascii="Times New Roman;serif" w:hAnsi="Times New Roman;serif"/>
          <w:b w:val="false"/>
          <w:color w:val="000000"/>
          <w:sz w:val="20"/>
        </w:rPr>
        <w:t>(Unaudited)</w:t>
      </w:r>
      <w:r>
        <w:rPr>
          <w:color w:val="000000"/>
        </w:rPr>
        <w:t xml:space="preserve">  </w:t>
      </w:r>
    </w:p>
    <w:tbl>
      <w:tblPr>
        <w:tblW w:w="7960" w:type="dxa"/>
        <w:jc w:val="left"/>
        <w:tblInd w:w="0" w:type="dxa"/>
        <w:tblLayout w:type="fixed"/>
        <w:tblCellMar>
          <w:top w:w="28" w:type="dxa"/>
          <w:left w:w="28" w:type="dxa"/>
          <w:bottom w:w="28" w:type="dxa"/>
          <w:right w:w="28" w:type="dxa"/>
        </w:tblCellMar>
      </w:tblPr>
      <w:tblGrid>
        <w:gridCol w:w="1440"/>
        <w:gridCol w:w="1265"/>
        <w:gridCol w:w="1269"/>
        <w:gridCol w:w="292"/>
        <w:gridCol w:w="1146"/>
        <w:gridCol w:w="151"/>
        <w:gridCol w:w="109"/>
        <w:gridCol w:w="109"/>
        <w:gridCol w:w="109"/>
        <w:gridCol w:w="292"/>
        <w:gridCol w:w="1146"/>
        <w:gridCol w:w="151"/>
        <w:gridCol w:w="109"/>
        <w:gridCol w:w="109"/>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operating activities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 of issuances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payments to stockholders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line of credit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SELECTED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8560" w:type="dxa"/>
        <w:jc w:val="left"/>
        <w:tblInd w:w="0" w:type="dxa"/>
        <w:tblLayout w:type="fixed"/>
        <w:tblCellMar>
          <w:top w:w="28" w:type="dxa"/>
          <w:left w:w="28" w:type="dxa"/>
          <w:bottom w:w="28" w:type="dxa"/>
          <w:right w:w="28" w:type="dxa"/>
        </w:tblCellMar>
      </w:tblPr>
      <w:tblGrid>
        <w:gridCol w:w="1654"/>
        <w:gridCol w:w="1455"/>
        <w:gridCol w:w="1465"/>
        <w:gridCol w:w="292"/>
        <w:gridCol w:w="1146"/>
        <w:gridCol w:w="151"/>
        <w:gridCol w:w="109"/>
        <w:gridCol w:w="109"/>
        <w:gridCol w:w="109"/>
        <w:gridCol w:w="322"/>
        <w:gridCol w:w="1101"/>
        <w:gridCol w:w="166"/>
        <w:gridCol w:w="109"/>
        <w:gridCol w:w="109"/>
        <w:gridCol w:w="109"/>
        <w:gridCol w:w="154"/>
      </w:tblGrid>
      <w:tr>
        <w:trPr/>
        <w:tc>
          <w:tcPr>
            <w:tcW w:w="165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earnings per share:</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weighted avg shares outstanding - diluted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NON-GAAP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6"/>
        <w:gridCol w:w="1498"/>
        <w:gridCol w:w="1507"/>
        <w:gridCol w:w="288"/>
        <w:gridCol w:w="1133"/>
        <w:gridCol w:w="149"/>
        <w:gridCol w:w="109"/>
        <w:gridCol w:w="109"/>
        <w:gridCol w:w="109"/>
        <w:gridCol w:w="317"/>
        <w:gridCol w:w="1086"/>
        <w:gridCol w:w="163"/>
        <w:gridCol w:w="109"/>
        <w:gridCol w:w="109"/>
        <w:gridCol w:w="109"/>
        <w:gridCol w:w="233"/>
        <w:gridCol w:w="233"/>
        <w:gridCol w:w="533"/>
        <w:gridCol w:w="109"/>
        <w:gridCol w:w="109"/>
        <w:gridCol w:w="109"/>
        <w:gridCol w:w="109"/>
        <w:gridCol w:w="109"/>
        <w:gridCol w:w="160"/>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 and Unlevered Free Cash Flow</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restructuring payments</w:t>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tax-effected interest expense</w:t>
            </w:r>
          </w:p>
        </w:tc>
        <w:tc>
          <w:tcPr>
            <w:tcW w:w="1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w:t>
            </w:r>
          </w:p>
        </w:tc>
        <w:tc>
          <w:tcPr>
            <w:tcW w:w="5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FISCAL YEAR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8704" w:type="dxa"/>
        <w:jc w:val="center"/>
        <w:tblInd w:w="0" w:type="dxa"/>
        <w:tblLayout w:type="fixed"/>
        <w:tblCellMar>
          <w:top w:w="28" w:type="dxa"/>
          <w:left w:w="28" w:type="dxa"/>
          <w:bottom w:w="28" w:type="dxa"/>
          <w:right w:w="28" w:type="dxa"/>
        </w:tblCellMar>
      </w:tblPr>
      <w:tblGrid>
        <w:gridCol w:w="1333"/>
        <w:gridCol w:w="1171"/>
        <w:gridCol w:w="1096"/>
        <w:gridCol w:w="429"/>
        <w:gridCol w:w="1254"/>
        <w:gridCol w:w="490"/>
        <w:gridCol w:w="222"/>
        <w:gridCol w:w="222"/>
        <w:gridCol w:w="222"/>
        <w:gridCol w:w="429"/>
        <w:gridCol w:w="1254"/>
        <w:gridCol w:w="582"/>
      </w:tblGrid>
      <w:tr>
        <w:trPr/>
        <w:tc>
          <w:tcPr>
            <w:tcW w:w="133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Updated Non-GAAP Operating Margin Guidance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adjustments</w:t>
            </w:r>
            <w:r>
              <w:rPr>
                <w:rFonts w:ascii="Times New Roman;serif" w:hAnsi="Times New Roman;serif"/>
                <w:b w:val="false"/>
                <w:color w:val="000000"/>
                <w:sz w:val="13"/>
              </w:rPr>
              <w:t>(1)</w:t>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6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39 </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39 </w:t>
            </w:r>
          </w:p>
        </w:tc>
        <w:tc>
          <w:tcPr>
            <w:tcW w:w="5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7"/>
        <w:gridCol w:w="1146"/>
        <w:gridCol w:w="1140"/>
        <w:gridCol w:w="618"/>
        <w:gridCol w:w="1808"/>
        <w:gridCol w:w="319"/>
        <w:gridCol w:w="319"/>
        <w:gridCol w:w="319"/>
        <w:gridCol w:w="319"/>
        <w:gridCol w:w="618"/>
        <w:gridCol w:w="1808"/>
        <w:gridCol w:w="454"/>
      </w:tblGrid>
      <w:tr>
        <w:trPr/>
        <w:tc>
          <w:tcPr>
            <w:tcW w:w="133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Updated Non-GAAP Earnings per Share and Effective Tax Rate Guidance</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(from previous table)</w:t>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w:t>
            </w:r>
            <w:r>
              <w:rPr>
                <w:rFonts w:ascii="Times New Roman;serif" w:hAnsi="Times New Roman;serif"/>
                <w:b w:val="false"/>
                <w:color w:val="000000"/>
                <w:sz w:val="13"/>
              </w:rPr>
              <w:t>(2)</w:t>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40"/>
        <w:gridCol w:w="841"/>
        <w:gridCol w:w="779"/>
        <w:gridCol w:w="302"/>
        <w:gridCol w:w="302"/>
        <w:gridCol w:w="302"/>
        <w:gridCol w:w="543"/>
        <w:gridCol w:w="1541"/>
        <w:gridCol w:w="668"/>
        <w:gridCol w:w="302"/>
        <w:gridCol w:w="302"/>
        <w:gridCol w:w="302"/>
        <w:gridCol w:w="543"/>
        <w:gridCol w:w="1541"/>
        <w:gridCol w:w="797"/>
      </w:tblGrid>
      <w:tr>
        <w:trPr/>
        <w:tc>
          <w:tcPr>
            <w:tcW w:w="11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 adjustments include preliminary estimates relating to the valuation of intangible assets acquired from Nuclia and restructuring expenses. The final amounts will not be available until the Company's internal procedures and reviews are completed.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Tax adjustment is based on a non-GAAP effective tax rate of approximately 20%, calculated as follows: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Fiscal Year Ending November 30, 2026</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from operations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384.3 </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392.7 </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from continuing operations before income taxes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318.3 </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327.7 </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262.2 </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tax rate</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6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7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FISCAL YEAR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9472" w:type="dxa"/>
        <w:jc w:val="center"/>
        <w:tblInd w:w="0" w:type="dxa"/>
        <w:tblLayout w:type="fixed"/>
        <w:tblCellMar>
          <w:top w:w="28" w:type="dxa"/>
          <w:left w:w="28" w:type="dxa"/>
          <w:bottom w:w="28" w:type="dxa"/>
          <w:right w:w="28" w:type="dxa"/>
        </w:tblCellMar>
      </w:tblPr>
      <w:tblGrid>
        <w:gridCol w:w="1204"/>
        <w:gridCol w:w="1055"/>
        <w:gridCol w:w="1055"/>
        <w:gridCol w:w="668"/>
        <w:gridCol w:w="1477"/>
        <w:gridCol w:w="345"/>
        <w:gridCol w:w="345"/>
        <w:gridCol w:w="345"/>
        <w:gridCol w:w="345"/>
        <w:gridCol w:w="668"/>
        <w:gridCol w:w="1477"/>
        <w:gridCol w:w="488"/>
      </w:tblGrid>
      <w:tr>
        <w:trPr/>
        <w:tc>
          <w:tcPr>
            <w:tcW w:w="120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47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Adjusted Free Cash Flow and Unlevered Free Cash Flow Guidance</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 (GAAP)</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restructuring payments</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(non-GAAP)</w:t>
            </w:r>
          </w:p>
        </w:tc>
        <w:tc>
          <w:tcPr>
            <w:tcW w:w="2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tax-effected interest expense</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 (non-GAAP)</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Q2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7386" w:type="dxa"/>
        <w:jc w:val="center"/>
        <w:tblInd w:w="0" w:type="dxa"/>
        <w:tblLayout w:type="fixed"/>
        <w:tblCellMar>
          <w:top w:w="28" w:type="dxa"/>
          <w:left w:w="28" w:type="dxa"/>
          <w:bottom w:w="28" w:type="dxa"/>
          <w:right w:w="28" w:type="dxa"/>
        </w:tblCellMar>
      </w:tblPr>
      <w:tblGrid>
        <w:gridCol w:w="1305"/>
        <w:gridCol w:w="1146"/>
        <w:gridCol w:w="1149"/>
        <w:gridCol w:w="393"/>
        <w:gridCol w:w="951"/>
        <w:gridCol w:w="203"/>
        <w:gridCol w:w="203"/>
        <w:gridCol w:w="203"/>
        <w:gridCol w:w="203"/>
        <w:gridCol w:w="393"/>
        <w:gridCol w:w="951"/>
        <w:gridCol w:w="286"/>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386"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Q2 2026 Non-GAAP Earnings per Share Guidance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 May 31, 2026</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adjustments</w:t>
            </w:r>
            <w:r>
              <w:rPr>
                <w:rFonts w:ascii="Times New Roman;serif" w:hAnsi="Times New Roman;serif"/>
                <w:b w:val="false"/>
                <w:color w:val="000000"/>
                <w:sz w:val="13"/>
              </w:rPr>
              <w:t>(3)</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3 </w:t>
            </w:r>
            <w:r>
              <w:rPr>
                <w:rFonts w:ascii="Times New Roman;serif" w:hAnsi="Times New Roman;serif"/>
                <w:b w:val="false"/>
                <w:color w:val="000000"/>
                <w:sz w:val="14"/>
              </w:rPr>
              <w:t>Total adjustments include preliminary estimates relating to the valuation of intangible assets acquired from Nuclia and restructuring expenses. The final amounts will not be available until the Company's internal procedures and reviews are completed.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Important Information Regarding Non-GAAP Financial Measures, Liquidity Measures, and Select Performance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furnishes certain non-GAAP supplemental information to our financial results. We use such non-GAAP financial measures to evaluate our period-over-period operating performance because our management team believes that excluding the effects of certain GAAP-related items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affording a view of our operating results that may be more easily compared to our peer companies, and (iv) enabling investors to consider our operating results on both a GAAP and non-GAAP basis (including following the integration period of our prior acquisitions).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of non-GAAP adjustments to Progress' GAAP financial results is included in the tables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adjusted for the following items from our GAAP financial results to arrive at our non-GAAP financial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Amortization of acquired intangibles -</w:t>
      </w:r>
      <w:r>
        <w:rPr>
          <w:color w:val="000000"/>
        </w:rPr>
        <w:t xml:space="preserve"> </w:t>
      </w:r>
      <w:r>
        <w:rPr>
          <w:rFonts w:ascii="Times New Roman;serif" w:hAnsi="Times New Roman;serif"/>
          <w:b w:val="false"/>
          <w:color w:val="000000"/>
          <w:sz w:val="20"/>
        </w:rPr>
        <w:t>We exclude amortization of acquired intangibles because those expenses are unrelated to our core operating performance and the intangible assets acquired vary significantly based on the timing and magnitude of our acquisition transactions and the maturities of the businesses acquired. Adjustments include preliminary estimates relating to the valuation of intangible assets from Nuclia. The final amounts will not be available until the Company's internal procedures and reviews are completed.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 -</w:t>
      </w:r>
      <w:r>
        <w:rPr>
          <w:color w:val="000000"/>
        </w:rPr>
        <w:t xml:space="preserve"> </w:t>
      </w:r>
      <w:r>
        <w:rPr>
          <w:rFonts w:ascii="Times New Roman;serif" w:hAnsi="Times New Roman;serif"/>
          <w:b w:val="false"/>
          <w:color w:val="000000"/>
          <w:sz w:val="20"/>
        </w:rPr>
        <w:t>We exclude stock-based compensation to be consistent with the way management and, in our view, the overall financial community evaluates our performance and the methods used by analysts to calculate consensus estimates. The expense related to stock-based awards is generally not controllable in the short-term and can vary significantly based on the timing, size, and nature of awards granted. As such, we do not include these charges in operating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expenses -</w:t>
      </w:r>
      <w:r>
        <w:rPr>
          <w:color w:val="000000"/>
        </w:rPr>
        <w:t xml:space="preserve"> </w:t>
      </w:r>
      <w:r>
        <w:rPr>
          <w:rFonts w:ascii="Times New Roman;serif" w:hAnsi="Times New Roman;serif"/>
          <w:b w:val="false"/>
          <w:color w:val="000000"/>
          <w:sz w:val="20"/>
        </w:rPr>
        <w:t>In all periods presented, we exclude restructuring expenses incurred because those expenses distort trends and are not part of our core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Acquisition-related expenses -</w:t>
      </w:r>
      <w:r>
        <w:rPr>
          <w:color w:val="000000"/>
        </w:rPr>
        <w:t xml:space="preserve"> </w:t>
      </w:r>
      <w:r>
        <w:rPr>
          <w:rFonts w:ascii="Times New Roman;serif" w:hAnsi="Times New Roman;serif"/>
          <w:b w:val="false"/>
          <w:color w:val="000000"/>
          <w:sz w:val="20"/>
        </w:rPr>
        <w:t>We exclude acquisition-related expenses in order to provide a more meaningful comparison of the financial results to our historical operations and forward-looking guidance and the financial 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acquisition-related costs, may not be indicative of the size, complexity, and/or volume of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Cyber vulnerability response expenses, net - </w:t>
      </w:r>
      <w:r>
        <w:rPr>
          <w:rFonts w:ascii="Times New Roman;serif" w:hAnsi="Times New Roman;serif"/>
          <w:b w:val="false"/>
          <w:color w:val="000000"/>
          <w:sz w:val="20"/>
        </w:rPr>
        <w:t>We exclude certain expenses resulting from the MOVEit Vulnerability, as more thoroughly described in our filings with the Securities and Exchange Commission since June 5, 2023. Such expenses primarily consist of legal and other professional services related thereto. Expenses related to such cyber matters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continue to incur legal and other professional services expenses in future periods associated with the MOVEit Vulnerability. Expenses related to such cyber matters are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w:t>
      </w:r>
    </w:p>
    <w:p>
      <w:pPr>
        <w:pStyle w:val="TextBody"/>
        <w:bidi w:val="0"/>
        <w:spacing w:lineRule="auto" w:line="288"/>
        <w:ind w:left="0" w:right="0" w:hanging="360"/>
        <w:jc w:val="left"/>
        <w:rPr/>
      </w:pPr>
      <w:r>
        <w:rPr>
          <w:color w:val="000000"/>
        </w:rPr>
        <w:t>•</w:t>
      </w: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adjust our income tax provision by excluding the tax impact of the non-GAAP adjustments discussed above.</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Constant currency - </w:t>
      </w:r>
      <w:r>
        <w:rPr>
          <w:rFonts w:ascii="Times New Roman;serif" w:hAnsi="Times New Roman;serif"/>
          <w:b w:val="false"/>
          <w:color w:val="000000"/>
          <w:sz w:val="20"/>
        </w:rPr>
        <w:t>Revenue from our international operations has historically represented a substantial portion of our total revenue. As a result, our revenue results have been impacted, and we expect will continue to be 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also present the following liquidity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Adjusted free cash flow ("AFCF")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unlevered free cash flow ("Unlevered FCF")</w:t>
      </w:r>
      <w:r>
        <w:rPr>
          <w:color w:val="000000"/>
        </w:rPr>
        <w:t xml:space="preserve"> </w:t>
      </w:r>
      <w:r>
        <w:rPr>
          <w:rFonts w:ascii="Times New Roman;serif" w:hAnsi="Times New Roman;serif"/>
          <w:b w:val="false"/>
          <w:color w:val="000000"/>
          <w:sz w:val="20"/>
        </w:rPr>
        <w:t>- AFCF is equal to cash flows from operating activities less purchases of property and equipment, plus restructuring payments. Unlevered FCF is AFCF plus tax-effected interest expense on outstanding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also present the following select performance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Annualized Recurring Revenue ("ARR") - </w:t>
      </w:r>
      <w:r>
        <w:rPr>
          <w:rFonts w:ascii="Times New Roman;serif" w:hAnsi="Times New Roman;serif"/>
          <w:b w:val="false"/>
          <w:color w:val="000000"/>
          <w:sz w:val="20"/>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calculation is done at constant currency using the current year budgeted exchange rates for all periods presented.</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Net Retention Rate ("NRR") - </w:t>
      </w:r>
      <w:r>
        <w:rPr>
          <w:rFonts w:ascii="Times New Roman;serif" w:hAnsi="Times New Roman;serif"/>
          <w:b w:val="false"/>
          <w:color w:val="000000"/>
          <w:sz w:val="20"/>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Regarding Forward-Looking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press release include, but are not limited to, statements regarding Progress' business outlook (including future acquisition activity) and financial guidance. There are a number of factors that could cause actual results or future events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or zero-day vulnerabilities, we may experience reputational harm, legal claims and financial exposure; and the results of inquiries, investigations and legal claims regarding the MOVEit Vulnerability remain uncertain, while the ultimate resolution of these matters could result in losses that may be material to our financial results for a particular period; and (v) future acquisitions may not be successful or may involve unanticipated costs or other integration issues that could disrupt our existing operations. For further information regarding risks and uncertainties associated with Progress' business, please refer to our filings with the Securities and Exchange Commission, including our Annual Report on Form 10-K for the fiscal year ended November 30, 2025. Progress undertakes no obligation to update any forward-looking statements, which speak only as of the date of this press release.</w:t>
      </w:r>
    </w:p>
    <w:p>
      <w:pPr>
        <w:pStyle w:val="TextBody"/>
        <w:bidi w:val="0"/>
        <w:spacing w:before="0" w:after="283"/>
        <w:jc w:val="left"/>
        <w:rPr/>
      </w:pPr>
      <w:r>
        <w:rPr/>
      </w:r>
    </w:p>
    <w:p>
      <w:pPr>
        <w:pStyle w:val="TextBody"/>
        <w:bidi w:val="0"/>
        <w:spacing w:before="0" w:after="0"/>
        <w:jc w:val="center"/>
        <w:rPr/>
      </w:pPr>
      <w:bookmarkStart w:id="0" w:name="q12026supplementaldeck.htm"/>
      <w:bookmarkStart w:id="1" w:name="ksq12026supplementaldeck"/>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16"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March 30, 2026 Q1 2026 Supplemental Information Progress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2026 Progress Software Corporation and/or its subsidiaries or aff iliates. All rights reserved. Forward Looking Statements This presentation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presentation include, but are not limited to, statements regarding Progress’s strategy; future revenue growth, operating margin, and cost savings; future acquisitions; and other statements regarding the future operation, direction, prospects, and success of Progress’s business. There are a number of factors that could cause actual results or future performance or achievements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or zero-day vulnerabilities, we may experience reputational harm, legal claims and financial exposure; and the results of inquiries, investigations, and legal claims regarding the MOVEit Vulnerability remain uncertain, while the ultimate resolution of these matters could result in losses that may be material to our financial results for a particular period; and (v) future acquisitions may not be successful or may involve unanticipated costs or other integration issues that could disrupt our existing operations. For further information regarding risks and uncertainties associated with Progress' business, please refer to Progress' filings with the U.S. Securities and Exchange Commission, including our quarterly report on Form 10-Q for the fiscal quarter ending February 28, 2026, and our Annual Report on Form 10-K for the fiscal year ended November 30, 2025. Progress undertakes no obligation to update any forward-looking statements, which speak only as of the date of this presentation. Non-GAAP Financial Measures We refer to certain non-GAAP financial measures in this presentation, including but not limited to, non-GAAP revenue, non-GAAP income from operations and operating margin, adjusted free cash flow, annualized recurring revenue ("ARR"), Net Retention Rate ("NRR"), and non-GAAP diluted earnings per share. These non-GAAP measures are not prepared in accordance with generally accepted accounting principles (“GAAP”). Please see "Important Information Regarding Non-GAAP Financial Information" below for additional information. A reconciliation between non-GAAP measures and the most directly comparable GAAP measures appears in our earnings press release for the fiscal first quarter ended February 28, 2026, and fiscal full year ended November 30, 2025, which is furnished on a Form 8-K concurrently with this presentation and is available in the Investor Relations section of our website.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2026 Progress Software Corporation and/or its subsidiaries or aff iliates. All rights reserved. Conference Call Details Please note: Webcast is listen-only. What: When: Time: Register for the Live Call: Access the Webcast: Progress Fiscal Q1 ’26 Financial Results Monday, March 30, 2026 5:00 p.m. ET Use this this link.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2026 Progress Software Corporation and/or its subsidiaries or aff iliates. All rights reserved. Summary Highlights Q1 2026 • Revenues of $248M vs. prior guidance of $244M - $250M, up 4% year-over-year as reported, or 2% in constant currency • ARR: $863M, up 2% year-over-year • NRR: 99% • Operating margin: 41% • EPS: $1.60, above mid-point of prior guidance of $1.56 - $1.62 • Adjusted Free Cash Flow: $99M All f igures are non-GAAP. Definitions of non-GAAP financial measures (including ARR and NRR) are found in Important Information Regarding Non-GAAP Financial Information. Rev Growth 4%, Exceptional Margins and Cash Flow Debt Paydown and Buybacks Continue Updated FY ’26 Guidance: Revenue: $988M - $1B EPS: $5.91 - $6.03 Q2 ’26 Guidance: Revenue: $240M - $246M EPS: $1.47 -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2026 Progress Software Corporation and/or its subsidiaries or aff iliates. All rights reserved. Net Retention % - TTM 102% 101% 100% 100% 100% 99% 100% 99% 99% Annualized Recurring Revenue Trend (Pro Forma) All periods reported in constant currency, using current year budgeted exchange rates ARR growth of 2% year-over-year ShareFile included in all periods Consistent Annual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2026 Progress Software Corporation and/or its subsidiaries or aff iliates. All rights reserved. Total Growth Strategy Invest &amp; Innovate Invest in our products and incorporate the latest technologies and capabilities to sustain relevance well into the future. Acquire &amp; Integrate Disciplined M&amp;A: pay a reasonable multiple for high-quality technology with strong recurring revenue; integrate quickly to reach 40% operating margins. Focus on Customer Success Ensure our customers continue to realize greater value from our products, leading to higher retention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2026 Progress Software Corporation and/or its subsidiaries or aff iliates. All rights reserved. Total Growth Strategy: Driving ARR Growth ARR CAGR of 15% Q1 2021 – Q1 2026 All periods reported in constant currency, using current year budgeted exchange rates Excludes ARR values from acquisitions prior to purchase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2026 Progress Software Corporation and/or its subsidiaries or aff iliates. All rights reserved. Total Growth Strategy: Driving Revenue Growth Revenue CAGR of 13% 2022 – 2026(E)* * Represents the mid-point of our FY’26 guidance range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2026 Progress Software Corporation and/or its subsidiaries or aff iliates. All rights reserved. Operating Income CAGR of 13% 2022 – 2026(E)* Best-in-class non-GAAP operating margins consistently above 35% * Represents the mid-point of our FY’26 guidance range Total Growth Strategy: Growing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2026 Progress Software Corporation and/or its subsidiaries or aff iliates. All rights reserved. Unlevered FCF CAGR of 12% 2022 – 2026(E)* * Represents the mid-point of our FY’26 guidance range Total Growth Strategy: Growing Unlevered Free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2025 Progress Software Corporation and/or its subsidiaries or aff iliates. All rights reserved.6 Capital Allocation Strategy PRIMARY FOCUS Continue to prioritize accretive M&amp;A opportunities that meet our disciplined criteria to create the strongest returns. Repurchase shares to offset dilution from our equity programs. • Management has flexibility to increase, reduce, or suspend repurchases depending on market conditions and other considerations including size and timing of proposed M&amp;A. • $20M of shares repurchased in Q1 ’26 Use our significant free cash flow to aggressively pay down debt and reload for the next acquisition. • $60M repaid in Q1 ’26 • Currently modeling $250M in debt repayment for FY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2026 Progress Software Corporation and/or its subsidiaries or aff iliates. All rights reserved. Well Defined M&amp;A Framework ▪ Cast a wide net across infrastructure software for AI-resilient businesses ▪ Tight alignment increases synergy potential ▪ ~10-25% of current Progress revenues ▪ Can be financed and integrated efficiently ▪ High recurring revenue and customer retention ▪ Potential to achieve operational efficiency ▪ Focused on sustained returns, accretiveROIC &gt; WACC Financial Characteristics Appropriate Sizing End Market Alignment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2026 Progress Software Corporation and/or its subsidiaries or aff iliates. All rights reserved. Summary Q1 2026 Financial Results Q1 2026 Results Prior Q1 2026 Outlook (provided on January 20, 2026) Revenue $248M $244M - $250M GAAP earnings per share (Diluted) $0.53 $0.47 - $0.53 Non-GAAP earnings per share (Diluted) $1.60 $1.56 - $1.62 GAAP Operating Margin 19% Not guided Non-GAAP Operating Margin 41% Not guided Cash from Operations (GAAP) $99M Not guided Adjusted Free Cash Flow (Non-GAAP) $99M Not guided Unlevered Free Cash Flow (Non-GAAP) $111M Not guided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2026 Progress Software Corporation and/or its subsidiaries or aff iliates. All rights reserved. Business Outlook (as of March 30, 2026) Q2 2026 Current Outlook FY 2026 Prior Outlook (provided on January 20, 2026) FY 2026 Updated Outlook Revenue $240M - $246M $986M - $1B $988M - $1B GAAP EPS $0.35 - $0.41 $1.74 - $1.91 $1.71 - $1.87 Non-GAAP EPS $1.47 - $1.53 $5.82 - $5.96 $5.91 - $6.03 GAAP Operating Margin Not guided 16% - 17% Unchanged Non-GAAP Operating Margin Not guided 39% Unchanged Cash from Operations (GAAP) Not guided $263M - $277M $266M - $278M Adjusted Free Cash Flow (Non- GAAP) Not guided $260M - $274M $263M - $275M Unlevered Free Cash Flow (Non- GAAP) Not guided $313M - $326M $315M - $326M GAAP Effective Tax Rate Not guided 21% 23% Non-GAAP Effective Tax Rate Not guided 20% Unchanged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2026 Progress Software Corporation and/or its subsidiaries or aff iliates. All rights reserved. Outstanding Debt and Potential Impact on Share Count Convertible # 1 Balance: $360M Interest Rate: 1.00% Conversion Price: $57.30 Expiration: April 15, 2026 Capped Call Coverage: up to $89.88* * Subject to downward adjustment for dividend policy Convertible # 2 Balance: $450M Interest Rate: 3.50% Conversion Price: $67.74 Expiration: March 1, 2030 Capped Call Coverage: up to $92.98* * Subject to downward adjustment for dividend policy Revolver (as of 2/28/26) Balance: $540M drawn out of $1.5B Interest Rate: 1.25% to 2.5% above benchmark Current interest rate ~ 5.4% as of Feb 28, 2026 Unused revolver fee: 0.15% - 0.35% Expiration: July 21, 2030 Approximately $5.0M of additional interest expense in FY 2026 for amortization of debt issuance costs $50 $55 $60 $65 $70 $75 $80 Impact of convertible notes on diluted weighted average share count (M)* 0.0 0.0 0.3 0.7 1.4 2.1 2.8 Impact of convertible #2 only on diluted weighted average share count (M)* 0.0 0.0 0.0 0.0 0.2 0.6 1.0 Current Guidance Assumption * Does not contemplate the impact on diluted weighted average share count from other events such as repurchases, issuance under equity plans, etc. Prior Guidance Assumption Future Share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2026 Progress Software Corporation and/or its subsidiaries or aff iliates. All rights reserved. ARR Exchange Rate Comparison – 2025 by Quarter* ARR is presented in constant currency, using our current year budgeted exchange rates “ARR at FY25 Rates” represents results reported translated using our FY25 budgeted exchange rates “ARR at FY26 Rates” represents those same results translated using our FY26 budgeted exchange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2026 Progress Software Corporation and/or its subsidiaries or aff iliates. All rights reserved. ARR Exchange Rate Comparison – 2022-2025 ARR is presented in constant currency, using our current year budgeted exchange rates “ARR at FY25 Rates” represents results reported translated using our FY25 budgeted exchange rates “ARR at FY26 Rates” represents those same results translated using our FY26 budgeted exchange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2026 Progress Software Corporation and/or its subsidiaries or aff iliates. All rights reserved. Supplemental Revenue Information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2026 Progress Software Corporation and/or its subsidiaries or aff iliates. All rights reserved. Progress furnishes certain non-GAAP supplemental information to our financial results. We use such non-GAAP financial measures to evaluate our period-over-period operating performance because our management team believes that excluding the effects of certain GAAP-related items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affording a view of our operating results that may be more easily compared to our peer companies, and (iv) enabling investors to consider our operating results on both a GAAP and non-GAAP basis (including following the integration period of our prior acquisit 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between non-GAAP measures and the most directly comparable GAAP measures appears in our earnings press release for the fiscal quarter ended February 28, 2026, which is furnished on a Form 8-K concurrently with this presentation and is available on the Progress website at www.progress.com within the investor relations section. In this presentation, we may reference the following non-GAAP financial measures: • Amortization of acquired intangibles - We exclude amortization of acquired intangibles because those expenses are unrelated to our core operating performance and the intangible assets acquired vary significantly based on the timing and magnitude of our acquisition transactions and the maturities of the businesses acquired. Adjustments include preliminary estimates relating to the valuation of intangible assets from Nuclia. The final amounts will not be available until the Company's internal procedures and reviews are completed. • Stock-based compensation - We exclude stock-based compensation to be consistent with the way management and, in our view, the overall financial community evaluates our performance and the methods used by analysts to calculate consensus estimates. The expense related to stock-based awards is generally not controllable in the short-term and can vary significantly based on the timing, size, and nature of awards granted. As such, we do not include these charges in operating plans. • Restructuring expenses - In all periods presented, we exclude restructuring expenses incurred because those expenses distort trends and are not part of our core operating results. • Acquisition-related expenses - We exclude acquisition-related expenses in order to provide a more meaningful comparison of the financial results to our historical operations and forward-looking guidance and the financial 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 ion-related costs, may not be indicative of the size, complexity, and/or volume of future acquisitions. • Cyber vulnerability response expenses, net - We exclude certain expenses resulting from the MOVEit Vulnerability, as more thoroughly described in our filings with the Securities and Exchange Commission since June 5, 2023. Such expenses primarily consist of legal and other professional services related thereto. Expenses related to such cyber matters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continue to incur legal and other professional services expenses in future periods associated with the MOVEit Vulnerability. Expenses related to such cyber matters are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 Important Information Regarding Non-GAAP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2026 Progress Software Corporation and/or its subsidiaries or aff iliates. All rights reserved. Important Information Regarding Non-GAAP Financial Information • Provision for income taxes - We adjust our income tax provision by excluding the tax impact of the non-GAAP adjustments discussed above. • Constant currency - Revenue from our international operations has historically represented a substantial portion of our total revenue. As a result, our revenue results have been impacted, and we expect will continue to be 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 In the noted f iscal periods, we also present the following liquidity measures: • Adjusted free cash flow ("AFCF") and unlevered free cash flow ("Unlevered FCF") - AFCF is equal to cash flows from operating activit ies less purchases of property and equipment, plus restructuring payments. Unlevered FCF is AFCF plus tax-effected interest expense on outstanding debt. In the noted f iscal periods, we also present the following select performance metrics: • Annualized Recurring Revenue (“ARR”) - 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 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 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 For SaaS-based contracts, there is a meaningful percentage of monthly auto-renewing contracts for which annualizing the contracts results in amounts being included in our ARR that are in excess of the total contract value for those contracts at the end of the reporting period. 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 The calculation is done at constant currency using the current year budgeted exchange rates for all periods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2026 Progress Software Corporation and/or its subsidiaries or aff iliates. All rights reserved. Important Information Regarding Non-GAAP Financial Information • ARR continued - 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 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 • Net Retention Rate ("NRR") - 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8518</Words>
  <Characters>47817</Characters>
  <CharactersWithSpaces>55813</CharactersWithSpaces>
  <Paragraphs>1001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q12026supplementaldeck</dc:title>
</cp:coreProperties>
</file>