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76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769735"/>
                    </a:xfrm>
                    <a:prstGeom prst="rect">
                      <a:avLst/>
                    </a:prstGeom>
                    <a:noFill/>
                  </pic:spPr>
                </pic:pic>
              </a:graphicData>
            </a:graphic>
          </wp:anchor>
        </w:drawing>
      </w:r>
    </w:p>
    <w:p>
      <w:pPr>
        <w:spacing w:after="0" w:line="1247" w:lineRule="exact"/>
        <w:rPr>
          <w:sz w:val="24"/>
          <w:szCs w:val="24"/>
          <w:color w:val="auto"/>
        </w:rPr>
      </w:pPr>
    </w:p>
    <w:p>
      <w:pPr>
        <w:sectPr>
          <w:pgSz w:w="11900" w:h="16876"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Ainsworth John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80"/>
        <w:spacing w:after="0" w:line="384" w:lineRule="auto"/>
        <w:rPr>
          <w:sz w:val="20"/>
          <w:szCs w:val="20"/>
          <w:color w:val="auto"/>
        </w:rPr>
      </w:pPr>
      <w:r>
        <w:rPr>
          <w:rFonts w:ascii="Times New Roman" w:cs="Times New Roman" w:eastAsia="Times New Roman" w:hAnsi="Times New Roman"/>
          <w:sz w:val="16"/>
          <w:szCs w:val="16"/>
          <w:color w:val="0000FF"/>
        </w:rPr>
        <w:t>C/O PROGRESS SOFTWARE CORPORATION 15 WAYSIDE ROAD, SUITE 400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01803</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PROGRESS SOFTWARE CORP /MA </w:t>
              </w:r>
            </w:hyperlink>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2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PRGS </w:t>
            </w:r>
            <w:r>
              <w:rPr>
                <w:rFonts w:ascii="Times New Roman" w:cs="Times New Roman" w:eastAsia="Times New Roman" w:hAnsi="Times New Roman"/>
                <w:sz w:val="20"/>
                <w:szCs w:val="20"/>
                <w:color w:val="000000"/>
              </w:rPr>
              <w:t>]</w:t>
            </w:r>
          </w:p>
        </w:tc>
        <w:tc>
          <w:tcPr>
            <w:tcW w:w="5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3100" w:type="dxa"/>
            <w:vAlign w:val="bottom"/>
            <w:gridSpan w:val="2"/>
          </w:tcPr>
          <w:p>
            <w:pPr>
              <w:ind w:left="380"/>
              <w:spacing w:after="0" w:line="182" w:lineRule="exact"/>
              <w:rPr>
                <w:sz w:val="20"/>
                <w:szCs w:val="20"/>
                <w:color w:val="auto"/>
              </w:rPr>
            </w:pPr>
            <w:r>
              <w:rPr>
                <w:rFonts w:ascii="Times New Roman" w:cs="Times New Roman" w:eastAsia="Times New Roman" w:hAnsi="Times New Roman"/>
                <w:sz w:val="17"/>
                <w:szCs w:val="17"/>
                <w:color w:val="0000FF"/>
              </w:rPr>
              <w:t>EVP/GM App &amp; Data Platform</w:t>
            </w:r>
          </w:p>
        </w:tc>
        <w:tc>
          <w:tcPr>
            <w:tcW w:w="0" w:type="dxa"/>
            <w:vAlign w:val="bottom"/>
          </w:tcPr>
          <w:p>
            <w:pPr>
              <w:spacing w:after="0"/>
              <w:rPr>
                <w:sz w:val="1"/>
                <w:szCs w:val="1"/>
                <w:color w:val="auto"/>
              </w:rPr>
            </w:pPr>
          </w:p>
        </w:tc>
      </w:tr>
      <w:tr>
        <w:trPr>
          <w:trHeight w:val="219"/>
        </w:trPr>
        <w:tc>
          <w:tcPr>
            <w:tcW w:w="3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04/01/2026</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76"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4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1,168</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57,043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519</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56,524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1,167</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57,691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line="312" w:lineRule="exact"/>
              <w:rPr>
                <w:sz w:val="20"/>
                <w:szCs w:val="20"/>
                <w:color w:val="auto"/>
              </w:rPr>
            </w:pPr>
            <w:r>
              <w:rPr>
                <w:rFonts w:ascii="Times New Roman" w:cs="Times New Roman" w:eastAsia="Times New Roman" w:hAnsi="Times New Roman"/>
                <w:sz w:val="33"/>
                <w:szCs w:val="33"/>
                <w:color w:val="0000FF"/>
                <w:vertAlign w:val="subscript"/>
              </w:rPr>
              <w:t>518</w:t>
            </w:r>
            <w:r>
              <w:rPr>
                <w:rFonts w:ascii="Times New Roman" w:cs="Times New Roman" w:eastAsia="Times New Roman" w:hAnsi="Times New Roman"/>
                <w:sz w:val="11"/>
                <w:szCs w:val="11"/>
                <w:color w:val="008000"/>
              </w:rPr>
              <w:t>(3)</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57,173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1,709</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left="152"/>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58,882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49"/>
              <w:spacing w:after="0"/>
              <w:rPr>
                <w:sz w:val="20"/>
                <w:szCs w:val="20"/>
                <w:color w:val="auto"/>
              </w:rPr>
            </w:pPr>
            <w:r>
              <w:rPr>
                <w:rFonts w:ascii="Times New Roman" w:cs="Times New Roman" w:eastAsia="Times New Roman" w:hAnsi="Times New Roman"/>
                <w:sz w:val="17"/>
                <w:szCs w:val="17"/>
                <w:color w:val="0000FF"/>
                <w:w w:val="98"/>
              </w:rPr>
              <w:t>04/01/2026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758</w:t>
            </w:r>
            <w:r>
              <w:rPr>
                <w:rFonts w:ascii="Times New Roman" w:cs="Times New Roman" w:eastAsia="Times New Roman" w:hAnsi="Times New Roman"/>
                <w:sz w:val="21"/>
                <w:szCs w:val="21"/>
                <w:color w:val="008000"/>
                <w:vertAlign w:val="superscript"/>
              </w:rPr>
              <w:t>(4)</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24.96</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58,124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jc w:val="center"/>
              <w:ind w:right="16"/>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center"/>
              <w:ind w:right="16"/>
              <w:spacing w:after="0" w:line="130"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88"/>
              </w:rPr>
              <w:t>(Instr. 5)</w:t>
            </w:r>
          </w:p>
        </w:tc>
        <w:tc>
          <w:tcPr>
            <w:tcW w:w="2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right"/>
              <w:ind w:right="53"/>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jc w:val="right"/>
              <w:ind w:right="373"/>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1,168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1,168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gridSpan w:val="2"/>
            <w:vMerge w:val="restart"/>
          </w:tcPr>
          <w:p>
            <w:pPr>
              <w:jc w:val="center"/>
              <w:ind w:left="10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260" w:type="dxa"/>
            <w:vAlign w:val="bottom"/>
          </w:tcPr>
          <w:p>
            <w:pPr>
              <w:spacing w:after="0"/>
              <w:rPr>
                <w:sz w:val="5"/>
                <w:szCs w:val="5"/>
                <w:color w:val="auto"/>
              </w:rPr>
            </w:pPr>
          </w:p>
        </w:tc>
        <w:tc>
          <w:tcPr>
            <w:tcW w:w="58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(6)</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1,167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1,167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gridSpan w:val="2"/>
            <w:vMerge w:val="restart"/>
          </w:tcPr>
          <w:p>
            <w:pPr>
              <w:jc w:val="center"/>
              <w:ind w:left="10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260" w:type="dxa"/>
            <w:vAlign w:val="bottom"/>
          </w:tcPr>
          <w:p>
            <w:pPr>
              <w:spacing w:after="0"/>
              <w:rPr>
                <w:sz w:val="5"/>
                <w:szCs w:val="5"/>
                <w:color w:val="auto"/>
              </w:rPr>
            </w:pPr>
          </w:p>
        </w:tc>
        <w:tc>
          <w:tcPr>
            <w:tcW w:w="58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2,336</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(7)</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1,709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1,709</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gridSpan w:val="2"/>
            <w:vMerge w:val="restart"/>
          </w:tcPr>
          <w:p>
            <w:pPr>
              <w:jc w:val="center"/>
              <w:ind w:left="10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260" w:type="dxa"/>
            <w:vAlign w:val="bottom"/>
          </w:tcPr>
          <w:p>
            <w:pPr>
              <w:spacing w:after="0"/>
              <w:rPr>
                <w:sz w:val="5"/>
                <w:szCs w:val="5"/>
                <w:color w:val="auto"/>
              </w:rPr>
            </w:pPr>
          </w:p>
        </w:tc>
        <w:tc>
          <w:tcPr>
            <w:tcW w:w="58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6,837</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Progress Software Corporation (the "Company") to pay the tax withholding obligations of the Reporting Person upon the vesting of restricted stock units granted to the Reporting Person on January 19, 2023.</w:t>
      </w:r>
    </w:p>
    <w:p>
      <w:pPr>
        <w:spacing w:after="0" w:line="1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18, 2024.</w:t>
      </w:r>
    </w:p>
    <w:p>
      <w:pPr>
        <w:spacing w:after="0" w:line="1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Company to pay the tax withholding obligations of the Reporting Person upon the vesting of restricted stock units granted to the Reporting Person on January 23, 2025.</w:t>
      </w:r>
    </w:p>
    <w:p>
      <w:pPr>
        <w:spacing w:after="0" w:line="1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19, 2023, the Reporting Person was granted 7,003 restricted stock units pursuant to the Company's 2008 Stock Option and Incentive Plan (as amended and restated, the "Plan"). The restricted stock units vest in six equal semiannual installments beginning October 1, 2023, subject to the continued employment of the Reporting Person with the Company.</w:t>
      </w:r>
    </w:p>
    <w:p>
      <w:pPr>
        <w:spacing w:after="0" w:line="15" w:lineRule="exact"/>
        <w:rPr>
          <w:rFonts w:ascii="Times New Roman" w:cs="Times New Roman" w:eastAsia="Times New Roman" w:hAnsi="Times New Roman"/>
          <w:sz w:val="13"/>
          <w:szCs w:val="13"/>
          <w:color w:val="008000"/>
        </w:rPr>
      </w:pPr>
    </w:p>
    <w:p>
      <w:pPr>
        <w:ind w:left="40" w:right="5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18, 2024, the Reporting Person was granted 7,004 restricted stock units pursuant to the Plan. The restricted stock units vest in six equal semiannual installments beginning October 1, 2024, subject to the continued employment of the Reporting Person with the Company.</w:t>
      </w:r>
    </w:p>
    <w:p>
      <w:pPr>
        <w:spacing w:after="0" w:line="1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23, 2025, the Reporting Person was granted 10,255 restricted stock units pursuant to the Plan. The restricted stock units vest in six equal semiannual installments beginning October 1, 2025, subject to the continued employment of the Reporting Person with the Company.</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Times New Roman" w:cs="Times New Roman" w:eastAsia="Times New Roman" w:hAnsi="Times New Roman"/>
                <w:sz w:val="17"/>
                <w:szCs w:val="17"/>
                <w:color w:val="0000FF"/>
                <w:w w:val="95"/>
              </w:rPr>
              <w:t>YuFan Stephanie Wang,</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04/03/2026</w:t>
            </w:r>
          </w:p>
        </w:tc>
      </w:tr>
      <w:tr>
        <w:trPr>
          <w:trHeight w:val="20"/>
        </w:trPr>
        <w:tc>
          <w:tcPr>
            <w:tcW w:w="1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ectPr>
          <w:pgSz w:w="11900" w:h="16876"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721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4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0309" TargetMode="External"/><Relationship Id="rId14" Type="http://schemas.openxmlformats.org/officeDocument/2006/relationships/hyperlink" Target="http://www.sec.gov/cgi-bin/browse-edgar?action=getcompany&amp;CIK=00008761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2026-04-03T15:23:24Z</dcterms:created>
  <dcterms:modified xsi:type="dcterms:W3CDTF">2026-04-03T15:23:24Z</dcterms:modified>
</cp:coreProperties>
</file>