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color w:val="000000"/>
        </w:rPr>
        <w:t> </w:t>
      </w:r>
      <w:r>
        <w:rPr>
          <w:rFonts w:ascii="Times New Roman;serif" w:hAnsi="Times New Roman;serif"/>
          <w:b/>
          <w:color w:val="000000"/>
          <w:sz w:val="28"/>
        </w:rPr>
        <w:t>FORM 10-Q</w:t>
      </w:r>
      <w:r>
        <w:rPr>
          <w:color w:val="000000"/>
        </w:rPr>
        <w:t xml:space="preserve">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(Mark One)</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bl>
    <w:p>
      <w:pPr>
        <w:pStyle w:val="TextBody"/>
        <w:bidi w:val="0"/>
        <w:spacing w:lineRule="auto" w:line="288" w:before="0" w:after="0"/>
        <w:jc w:val="center"/>
        <w:rPr/>
      </w:pPr>
      <w:r>
        <w:rPr>
          <w:rFonts w:ascii="Times New Roman;serif" w:hAnsi="Times New Roman;serif"/>
          <w:b w:val="false"/>
          <w:color w:val="000000"/>
          <w:sz w:val="18"/>
        </w:rPr>
        <w:t xml:space="preserve">For the quarterly period ended </w:t>
      </w:r>
      <w:r>
        <w:rPr>
          <w:rFonts w:ascii="Times New Roman;serif" w:hAnsi="Times New Roman;serif"/>
          <w:b w:val="false"/>
          <w:color w:val="000000"/>
          <w:sz w:val="20"/>
        </w:rPr>
        <w:t>August 31, 2026</w:t>
      </w:r>
      <w:r>
        <w:rPr>
          <w:color w:val="000000"/>
        </w:rPr>
        <w:t xml:space="preserve">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or</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10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For the transition period from _____to _____.</w:t>
      </w:r>
    </w:p>
    <w:p>
      <w:pPr>
        <w:pStyle w:val="TextBody"/>
        <w:bidi w:val="0"/>
        <w:spacing w:lineRule="auto" w:line="288" w:before="0" w:after="0"/>
        <w:jc w:val="center"/>
        <w:rPr/>
      </w:pPr>
      <w:r>
        <w:rPr>
          <w:rFonts w:ascii="Times New Roman;serif" w:hAnsi="Times New Roman;serif"/>
          <w:b w:val="false"/>
          <w:color w:val="000000"/>
          <w:sz w:val="18"/>
        </w:rPr>
        <w:t>Commission File Number:</w:t>
      </w:r>
      <w:r>
        <w:rPr>
          <w:color w:val="000000"/>
        </w:rPr>
        <w:t xml:space="preserve"> </w:t>
      </w:r>
      <w:r>
        <w:rPr>
          <w:rFonts w:ascii="Times New Roman;serif" w:hAnsi="Times New Roman;serif"/>
          <w:b/>
          <w:color w:val="000000"/>
          <w:sz w:val="18"/>
        </w:rPr>
        <w:t>0-19417</w:t>
      </w:r>
      <w:r>
        <w:rPr>
          <w:color w:val="000000"/>
        </w:rPr>
        <w:t xml:space="preserve">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PROGRESS SOFTWARE CORPORATION</w:t>
      </w:r>
    </w:p>
    <w:p>
      <w:pPr>
        <w:pStyle w:val="TextBody"/>
        <w:bidi w:val="0"/>
        <w:spacing w:lineRule="auto" w:line="288" w:before="0" w:after="0"/>
        <w:jc w:val="center"/>
        <w:rPr/>
      </w:pPr>
      <w:r>
        <w:rPr>
          <w:rFonts w:ascii="Times New Roman;serif" w:hAnsi="Times New Roman;serif"/>
          <w:b w:val="false"/>
          <w:color w:val="000000"/>
          <w:sz w:val="16"/>
        </w:rPr>
        <w:t>(Exact name of registrant as specified in its charter)</w:t>
      </w: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286" w:type="dxa"/>
        <w:jc w:val="left"/>
        <w:tblInd w:w="0" w:type="dxa"/>
        <w:tblLayout w:type="fixed"/>
        <w:tblCellMar>
          <w:top w:w="28" w:type="dxa"/>
          <w:left w:w="28" w:type="dxa"/>
          <w:bottom w:w="28" w:type="dxa"/>
          <w:right w:w="28" w:type="dxa"/>
        </w:tblCellMar>
      </w:tblPr>
      <w:tblGrid>
        <w:gridCol w:w="1549"/>
        <w:gridCol w:w="1364"/>
        <w:gridCol w:w="1376"/>
        <w:gridCol w:w="109"/>
        <w:gridCol w:w="109"/>
        <w:gridCol w:w="109"/>
        <w:gridCol w:w="778"/>
        <w:gridCol w:w="778"/>
        <w:gridCol w:w="1114"/>
      </w:tblGrid>
      <w:tr>
        <w:trPr/>
        <w:tc>
          <w:tcPr>
            <w:tcW w:w="1549"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04-2746201</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bl>
    <w:p>
      <w:pPr>
        <w:pStyle w:val="TextBody"/>
        <w:bidi w:val="0"/>
        <w:spacing w:before="0" w:after="0"/>
        <w:jc w:val="left"/>
        <w:rPr/>
      </w:pPr>
      <w:r>
        <w:rPr/>
      </w:r>
    </w:p>
    <w:tbl>
      <w:tblPr>
        <w:tblW w:w="5621" w:type="dxa"/>
        <w:jc w:val="left"/>
        <w:tblInd w:w="0" w:type="dxa"/>
        <w:tblLayout w:type="fixed"/>
        <w:tblCellMar>
          <w:top w:w="28" w:type="dxa"/>
          <w:left w:w="28" w:type="dxa"/>
          <w:bottom w:w="28" w:type="dxa"/>
          <w:right w:w="28" w:type="dxa"/>
        </w:tblCellMar>
      </w:tblPr>
      <w:tblGrid>
        <w:gridCol w:w="1598"/>
        <w:gridCol w:w="1400"/>
        <w:gridCol w:w="1411"/>
        <w:gridCol w:w="109"/>
        <w:gridCol w:w="109"/>
        <w:gridCol w:w="109"/>
        <w:gridCol w:w="259"/>
        <w:gridCol w:w="259"/>
        <w:gridCol w:w="367"/>
      </w:tblGrid>
      <w:tr>
        <w:trPr/>
        <w:tc>
          <w:tcPr>
            <w:tcW w:w="1598"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15 Wayside Road, Suite 400, Burlington, Massachusetts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01803</w:t>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16"/>
        </w:rPr>
        <w:t>Registrant</w:t>
      </w:r>
      <w:r>
        <w:rPr>
          <w:rFonts w:ascii="Times New Roman;serif" w:hAnsi="Times New Roman;serif"/>
          <w:b w:val="false"/>
          <w:color w:val="000000"/>
          <w:sz w:val="20"/>
        </w:rPr>
        <w:t>'</w:t>
      </w:r>
      <w:r>
        <w:rPr>
          <w:rFonts w:ascii="Times New Roman;serif" w:hAnsi="Times New Roman;serif"/>
          <w:b w:val="false"/>
          <w:color w:val="000000"/>
          <w:sz w:val="16"/>
        </w:rPr>
        <w:t xml:space="preserve">s telephone number, including area code: </w:t>
      </w:r>
      <w:r>
        <w:rPr>
          <w:rFonts w:ascii="Times New Roman;serif" w:hAnsi="Times New Roman;serif"/>
          <w:b/>
          <w:color w:val="000000"/>
          <w:sz w:val="18"/>
        </w:rPr>
        <w:t xml:space="preserve">(781) 280-4000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 applicable</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(Former name or former address and former fiscal year,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8067" w:type="dxa"/>
        <w:jc w:val="center"/>
        <w:tblInd w:w="0" w:type="dxa"/>
        <w:tblLayout w:type="fixed"/>
        <w:tblCellMar>
          <w:top w:w="28" w:type="dxa"/>
          <w:left w:w="28" w:type="dxa"/>
          <w:bottom w:w="28" w:type="dxa"/>
          <w:right w:w="28" w:type="dxa"/>
        </w:tblCellMar>
      </w:tblPr>
      <w:tblGrid>
        <w:gridCol w:w="1205"/>
        <w:gridCol w:w="1062"/>
        <w:gridCol w:w="1077"/>
        <w:gridCol w:w="484"/>
        <w:gridCol w:w="484"/>
        <w:gridCol w:w="486"/>
        <w:gridCol w:w="956"/>
        <w:gridCol w:w="956"/>
        <w:gridCol w:w="1357"/>
      </w:tblGrid>
      <w:tr>
        <w:trPr/>
        <w:tc>
          <w:tcPr>
            <w:tcW w:w="1205"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Symbol(s)</w:t>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 $0.01 par value per share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PRGS</w:t>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The Nasdaq Stock Market LLC</w:t>
            </w:r>
          </w:p>
        </w:tc>
      </w:tr>
    </w:tbl>
    <w:p>
      <w:pPr>
        <w:pStyle w:val="TextBody"/>
        <w:bidi w:val="0"/>
        <w:spacing w:lineRule="auto" w:line="288" w:before="0" w:after="0"/>
        <w:jc w:val="left"/>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180" w:after="283"/>
        <w:jc w:val="left"/>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180" w:after="283"/>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384"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109"/>
        <w:gridCol w:w="109"/>
        <w:gridCol w:w="109"/>
        <w:gridCol w:w="678"/>
        <w:gridCol w:w="678"/>
        <w:gridCol w:w="683"/>
        <w:gridCol w:w="109"/>
        <w:gridCol w:w="109"/>
        <w:gridCol w:w="109"/>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10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10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10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100" w:after="283"/>
              <w:jc w:val="left"/>
              <w:rPr>
                <w:color w:val="000000"/>
              </w:rPr>
            </w:pPr>
            <w:r>
              <w:rPr>
                <w:color w:val="000000"/>
              </w:rPr>
              <w:t>☐</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rPr>
        <w:t xml:space="preserve">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18"/>
        </w:rPr>
        <w:t>No  </w:t>
      </w:r>
      <w:r>
        <w:rPr>
          <w:color w:val="000000"/>
        </w:rPr>
        <w:t>☒</w:t>
      </w:r>
    </w:p>
    <w:p>
      <w:pPr>
        <w:pStyle w:val="TextBody"/>
        <w:bidi w:val="0"/>
        <w:spacing w:lineRule="auto" w:line="288" w:before="180" w:after="283"/>
        <w:jc w:val="left"/>
        <w:rPr/>
      </w:pPr>
      <w:r>
        <w:rPr>
          <w:rFonts w:ascii="Times New Roman;serif" w:hAnsi="Times New Roman;serif"/>
          <w:b w:val="false"/>
          <w:color w:val="000000"/>
          <w:sz w:val="18"/>
        </w:rPr>
        <w:t>As of September 28, 2026, there were 40,874,192 shares of the registrant</w:t>
      </w:r>
      <w:r>
        <w:rPr>
          <w:rFonts w:ascii="Times New Roman;serif" w:hAnsi="Times New Roman;serif"/>
          <w:b w:val="false"/>
          <w:color w:val="000000"/>
          <w:sz w:val="20"/>
        </w:rPr>
        <w:t>'</w:t>
      </w:r>
      <w:r>
        <w:rPr>
          <w:rFonts w:ascii="Times New Roman;serif" w:hAnsi="Times New Roman;serif"/>
          <w:b w:val="false"/>
          <w:color w:val="000000"/>
          <w:sz w:val="18"/>
        </w:rPr>
        <w:t>s common stock, $.01 par value per share,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PROGRESS SOFTWARE CORPORATION</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FOR THE QUARTERLY PERIOD ENDED AUGUST 31, 2026</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304"/>
        <w:gridCol w:w="266"/>
        <w:gridCol w:w="271"/>
        <w:gridCol w:w="2995"/>
        <w:gridCol w:w="2995"/>
        <w:gridCol w:w="3000"/>
        <w:gridCol w:w="109"/>
        <w:gridCol w:w="109"/>
        <w:gridCol w:w="156"/>
      </w:tblGrid>
      <w:tr>
        <w:trPr/>
        <w:tc>
          <w:tcPr>
            <w:tcW w:w="30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995" w:type="dxa"/>
            <w:tcBorders/>
            <w:vAlign w:val="center"/>
          </w:tcPr>
          <w:p>
            <w:pPr>
              <w:pStyle w:val="TableContents"/>
              <w:bidi w:val="0"/>
              <w:spacing w:before="0" w:after="283"/>
              <w:jc w:val="left"/>
              <w:rPr>
                <w:sz w:val="4"/>
                <w:szCs w:val="4"/>
              </w:rPr>
            </w:pPr>
            <w:r>
              <w:rPr>
                <w:sz w:val="4"/>
                <w:szCs w:val="4"/>
              </w:rPr>
            </w:r>
          </w:p>
        </w:tc>
        <w:tc>
          <w:tcPr>
            <w:tcW w:w="2995" w:type="dxa"/>
            <w:tcBorders/>
            <w:vAlign w:val="center"/>
          </w:tcPr>
          <w:p>
            <w:pPr>
              <w:pStyle w:val="TableContents"/>
              <w:bidi w:val="0"/>
              <w:spacing w:before="0" w:after="283"/>
              <w:jc w:val="left"/>
              <w:rPr>
                <w:sz w:val="4"/>
                <w:szCs w:val="4"/>
              </w:rPr>
            </w:pPr>
            <w:r>
              <w:rPr>
                <w:sz w:val="4"/>
                <w:szCs w:val="4"/>
              </w:rPr>
            </w:r>
          </w:p>
        </w:tc>
        <w:tc>
          <w:tcPr>
            <w:tcW w:w="30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w:t>
            </w:r>
          </w:p>
        </w:tc>
        <w:tc>
          <w:tcPr>
            <w:tcW w:w="89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318f7ad1bc40e087c067c651645c3c_10">
              <w:r>
                <w:rPr>
                  <w:rStyle w:val="InternetLink"/>
                  <w:rFonts w:ascii="Times New Roman;serif" w:hAnsi="Times New Roman;serif"/>
                  <w:b/>
                  <w:color w:val="0000FF"/>
                  <w:sz w:val="20"/>
                  <w:u w:val="single"/>
                </w:rPr>
                <w:t>FINANCIAL INFORMATION</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9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318f7ad1bc40e087c067c651645c3c_13">
              <w:r>
                <w:rPr>
                  <w:rStyle w:val="InternetLink"/>
                  <w:rFonts w:ascii="Times New Roman;serif" w:hAnsi="Times New Roman;serif"/>
                  <w:b w:val="false"/>
                  <w:color w:val="0000FF"/>
                  <w:sz w:val="20"/>
                  <w:u w:val="single"/>
                </w:rPr>
                <w:t>Financial Statements (Unaudited)</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318f7ad1bc40e087c067c651645c3c_13">
              <w:r>
                <w:rPr>
                  <w:rStyle w:val="InternetLink"/>
                  <w:rFonts w:ascii="Times New Roman;serif" w:hAnsi="Times New Roman;serif"/>
                  <w:b w:val="false"/>
                  <w:color w:val="0000FF"/>
                  <w:sz w:val="20"/>
                  <w:u w:val="single"/>
                </w:rPr>
                <w:t>3</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318f7ad1bc40e087c067c651645c3c_16">
              <w:r>
                <w:rPr>
                  <w:rStyle w:val="InternetLink"/>
                  <w:rFonts w:ascii="Times New Roman;serif" w:hAnsi="Times New Roman;serif"/>
                  <w:b w:val="false"/>
                  <w:color w:val="0000FF"/>
                  <w:sz w:val="20"/>
                  <w:u w:val="single"/>
                </w:rPr>
                <w:t>Condensed Consolidated Balance Sheets as of August 31, 2026 and November 30, 2025</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318f7ad1bc40e087c067c651645c3c_16">
              <w:r>
                <w:rPr>
                  <w:rStyle w:val="InternetLink"/>
                  <w:rFonts w:ascii="Times New Roman;serif" w:hAnsi="Times New Roman;serif"/>
                  <w:b w:val="false"/>
                  <w:color w:val="0000FF"/>
                  <w:sz w:val="20"/>
                  <w:u w:val="single"/>
                </w:rPr>
                <w:t>3</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318f7ad1bc40e087c067c651645c3c_22">
              <w:r>
                <w:rPr>
                  <w:rStyle w:val="InternetLink"/>
                  <w:rFonts w:ascii="Times New Roman;serif" w:hAnsi="Times New Roman;serif"/>
                  <w:b w:val="false"/>
                  <w:color w:val="0000FF"/>
                  <w:sz w:val="20"/>
                  <w:u w:val="single"/>
                </w:rPr>
                <w:t>Condensed Consolidated Statements of Operations for the three and nine months ended August 31, 2026 and 2025</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318f7ad1bc40e087c067c651645c3c_22">
              <w:r>
                <w:rPr>
                  <w:rStyle w:val="InternetLink"/>
                  <w:rFonts w:ascii="Times New Roman;serif" w:hAnsi="Times New Roman;serif"/>
                  <w:b w:val="false"/>
                  <w:color w:val="0000FF"/>
                  <w:sz w:val="20"/>
                  <w:u w:val="single"/>
                </w:rPr>
                <w:t>4</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318f7ad1bc40e087c067c651645c3c_25">
              <w:r>
                <w:rPr>
                  <w:rStyle w:val="InternetLink"/>
                  <w:rFonts w:ascii="Times New Roman;serif" w:hAnsi="Times New Roman;serif"/>
                  <w:b w:val="false"/>
                  <w:color w:val="0000FF"/>
                  <w:sz w:val="20"/>
                  <w:u w:val="single"/>
                </w:rPr>
                <w:t>Condensed Consolidated Statements of Comprehensive Income for the three and nine months ended August 31, 2026 and 2025</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318f7ad1bc40e087c067c651645c3c_25">
              <w:r>
                <w:rPr>
                  <w:rStyle w:val="InternetLink"/>
                  <w:rFonts w:ascii="Times New Roman;serif" w:hAnsi="Times New Roman;serif"/>
                  <w:b w:val="false"/>
                  <w:color w:val="0000FF"/>
                  <w:sz w:val="20"/>
                  <w:u w:val="single"/>
                </w:rPr>
                <w:t>5</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318f7ad1bc40e087c067c651645c3c_31">
              <w:r>
                <w:rPr>
                  <w:rStyle w:val="InternetLink"/>
                  <w:rFonts w:ascii="Times New Roman;serif" w:hAnsi="Times New Roman;serif"/>
                  <w:b w:val="false"/>
                  <w:color w:val="0000FF"/>
                  <w:sz w:val="20"/>
                  <w:u w:val="single"/>
                </w:rPr>
                <w:t>Condensed Consolidated Statements of Stockholders' Equity for the three and nine months ended August 31, 2026 and 2025</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318f7ad1bc40e087c067c651645c3c_31">
              <w:r>
                <w:rPr>
                  <w:rStyle w:val="InternetLink"/>
                  <w:rFonts w:ascii="Times New Roman;serif" w:hAnsi="Times New Roman;serif"/>
                  <w:b w:val="false"/>
                  <w:color w:val="0000FF"/>
                  <w:sz w:val="20"/>
                  <w:u w:val="single"/>
                </w:rPr>
                <w:t>6</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318f7ad1bc40e087c067c651645c3c_34">
              <w:r>
                <w:rPr>
                  <w:rStyle w:val="InternetLink"/>
                  <w:rFonts w:ascii="Times New Roman;serif" w:hAnsi="Times New Roman;serif"/>
                  <w:b w:val="false"/>
                  <w:color w:val="0000FF"/>
                  <w:sz w:val="20"/>
                  <w:u w:val="single"/>
                </w:rPr>
                <w:t>Condensed Consolidated Statements of Cash Flows for the nine months ended August 31, 2026 and 2025</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318f7ad1bc40e087c067c651645c3c_34">
              <w:r>
                <w:rPr>
                  <w:rStyle w:val="InternetLink"/>
                  <w:rFonts w:ascii="Times New Roman;serif" w:hAnsi="Times New Roman;serif"/>
                  <w:b w:val="false"/>
                  <w:color w:val="0000FF"/>
                  <w:sz w:val="20"/>
                  <w:u w:val="single"/>
                </w:rPr>
                <w:t>8</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318f7ad1bc40e087c067c651645c3c_40">
              <w:r>
                <w:rPr>
                  <w:rStyle w:val="InternetLink"/>
                  <w:rFonts w:ascii="Times New Roman;serif" w:hAnsi="Times New Roman;serif"/>
                  <w:b w:val="false"/>
                  <w:color w:val="0000FF"/>
                  <w:sz w:val="20"/>
                  <w:u w:val="single"/>
                </w:rPr>
                <w:t>Notes to Condensed Consolidated Financial Statements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318f7ad1bc40e087c067c651645c3c_40">
              <w:r>
                <w:rPr>
                  <w:rStyle w:val="InternetLink"/>
                  <w:rFonts w:ascii="Times New Roman;serif" w:hAnsi="Times New Roman;serif"/>
                  <w:b w:val="false"/>
                  <w:color w:val="0000FF"/>
                  <w:sz w:val="20"/>
                  <w:u w:val="single"/>
                </w:rPr>
                <w:t>10</w:t>
              </w:r>
            </w:hyperlink>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9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318f7ad1bc40e087c067c651645c3c_82">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318f7ad1bc40e087c067c651645c3c_82">
              <w:r>
                <w:rPr>
                  <w:rStyle w:val="InternetLink"/>
                  <w:rFonts w:ascii="Times New Roman;serif" w:hAnsi="Times New Roman;serif"/>
                  <w:b w:val="false"/>
                  <w:color w:val="0000FF"/>
                  <w:sz w:val="20"/>
                  <w:u w:val="single"/>
                </w:rPr>
                <w:t>19</w:t>
              </w:r>
            </w:hyperlink>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9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318f7ad1bc40e087c067c651645c3c_100">
              <w:r>
                <w:rPr>
                  <w:rStyle w:val="InternetLink"/>
                  <w:rFonts w:ascii="Times New Roman;serif" w:hAnsi="Times New Roman;serif"/>
                  <w:b w:val="false"/>
                  <w:color w:val="0000FF"/>
                  <w:sz w:val="20"/>
                  <w:u w:val="single"/>
                </w:rPr>
                <w:t>Quantitative and Qualitative Disclosures About Market Risk</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318f7ad1bc40e087c067c651645c3c_100">
              <w:r>
                <w:rPr>
                  <w:rStyle w:val="InternetLink"/>
                  <w:rFonts w:ascii="Times New Roman;serif" w:hAnsi="Times New Roman;serif"/>
                  <w:b w:val="false"/>
                  <w:color w:val="0000FF"/>
                  <w:sz w:val="20"/>
                  <w:u w:val="single"/>
                </w:rPr>
                <w:t>28</w:t>
              </w:r>
            </w:hyperlink>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9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318f7ad1bc40e087c067c651645c3c_103">
              <w:r>
                <w:rPr>
                  <w:rStyle w:val="InternetLink"/>
                  <w:rFonts w:ascii="Times New Roman;serif" w:hAnsi="Times New Roman;serif"/>
                  <w:b w:val="false"/>
                  <w:color w:val="0000FF"/>
                  <w:sz w:val="20"/>
                  <w:u w:val="single"/>
                </w:rPr>
                <w:t>Controls and Procedures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318f7ad1bc40e087c067c651645c3c_103">
              <w:r>
                <w:rPr>
                  <w:rStyle w:val="InternetLink"/>
                  <w:rFonts w:ascii="Times New Roman;serif" w:hAnsi="Times New Roman;serif"/>
                  <w:b w:val="false"/>
                  <w:color w:val="0000FF"/>
                  <w:sz w:val="20"/>
                  <w:u w:val="single"/>
                </w:rPr>
                <w:t>28</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II</w:t>
            </w:r>
          </w:p>
        </w:tc>
        <w:tc>
          <w:tcPr>
            <w:tcW w:w="89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318f7ad1bc40e087c067c651645c3c_106">
              <w:r>
                <w:rPr>
                  <w:rStyle w:val="InternetLink"/>
                  <w:rFonts w:ascii="Times New Roman;serif" w:hAnsi="Times New Roman;serif"/>
                  <w:b/>
                  <w:color w:val="0000FF"/>
                  <w:sz w:val="20"/>
                  <w:u w:val="single"/>
                </w:rPr>
                <w:t>OTHER INFORMATION</w:t>
              </w:r>
            </w:hyperlink>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9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318f7ad1bc40e087c067c651645c3c_109">
              <w:r>
                <w:rPr>
                  <w:rStyle w:val="InternetLink"/>
                  <w:rFonts w:ascii="Times New Roman;serif" w:hAnsi="Times New Roman;serif"/>
                  <w:b w:val="false"/>
                  <w:color w:val="0000FF"/>
                  <w:sz w:val="20"/>
                  <w:u w:val="single"/>
                </w:rPr>
                <w:t>Legal Proceedings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318f7ad1bc40e087c067c651645c3c_109">
              <w:r>
                <w:rPr>
                  <w:rStyle w:val="InternetLink"/>
                  <w:rFonts w:ascii="Times New Roman;serif" w:hAnsi="Times New Roman;serif"/>
                  <w:b w:val="false"/>
                  <w:color w:val="0000FF"/>
                  <w:sz w:val="20"/>
                  <w:u w:val="single"/>
                </w:rPr>
                <w:t>29</w:t>
              </w:r>
            </w:hyperlink>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89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318f7ad1bc40e087c067c651645c3c_112">
              <w:r>
                <w:rPr>
                  <w:rStyle w:val="InternetLink"/>
                  <w:rFonts w:ascii="Times New Roman;serif" w:hAnsi="Times New Roman;serif"/>
                  <w:b w:val="false"/>
                  <w:color w:val="0000FF"/>
                  <w:sz w:val="20"/>
                  <w:u w:val="single"/>
                </w:rPr>
                <w:t>Risk Factors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318f7ad1bc40e087c067c651645c3c_112">
              <w:r>
                <w:rPr>
                  <w:rStyle w:val="InternetLink"/>
                  <w:rFonts w:ascii="Times New Roman;serif" w:hAnsi="Times New Roman;serif"/>
                  <w:b w:val="false"/>
                  <w:color w:val="0000FF"/>
                  <w:sz w:val="20"/>
                  <w:u w:val="single"/>
                </w:rPr>
                <w:t>29</w:t>
              </w:r>
            </w:hyperlink>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9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318f7ad1bc40e087c067c651645c3c_115">
              <w:r>
                <w:rPr>
                  <w:rStyle w:val="InternetLink"/>
                  <w:rFonts w:ascii="Times New Roman;serif" w:hAnsi="Times New Roman;serif"/>
                  <w:b w:val="false"/>
                  <w:color w:val="0000FF"/>
                  <w:sz w:val="20"/>
                  <w:u w:val="single"/>
                </w:rPr>
                <w:t>Unregistered Sales of Equity Securities and Use of Proceeds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318f7ad1bc40e087c067c651645c3c_115">
              <w:r>
                <w:rPr>
                  <w:rStyle w:val="InternetLink"/>
                  <w:rFonts w:ascii="Times New Roman;serif" w:hAnsi="Times New Roman;serif"/>
                  <w:b w:val="false"/>
                  <w:color w:val="0000FF"/>
                  <w:sz w:val="20"/>
                  <w:u w:val="single"/>
                </w:rPr>
                <w:t>29</w:t>
              </w:r>
            </w:hyperlink>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89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318f7ad1bc40e087c067c651645c3c_118">
              <w:r>
                <w:rPr>
                  <w:rStyle w:val="InternetLink"/>
                  <w:rFonts w:ascii="Times New Roman;serif" w:hAnsi="Times New Roman;serif"/>
                  <w:b w:val="false"/>
                  <w:color w:val="0000FF"/>
                  <w:sz w:val="20"/>
                  <w:u w:val="single"/>
                </w:rPr>
                <w:t>Other Information</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318f7ad1bc40e087c067c651645c3c_118">
              <w:r>
                <w:rPr>
                  <w:rStyle w:val="InternetLink"/>
                  <w:rFonts w:ascii="Times New Roman;serif" w:hAnsi="Times New Roman;serif"/>
                  <w:b w:val="false"/>
                  <w:color w:val="0000FF"/>
                  <w:sz w:val="20"/>
                  <w:u w:val="single"/>
                </w:rPr>
                <w:t>30</w:t>
              </w:r>
            </w:hyperlink>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89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318f7ad1bc40e087c067c651645c3c_121">
              <w:r>
                <w:rPr>
                  <w:rStyle w:val="InternetLink"/>
                  <w:rFonts w:ascii="Times New Roman;serif" w:hAnsi="Times New Roman;serif"/>
                  <w:b w:val="false"/>
                  <w:color w:val="0000FF"/>
                  <w:sz w:val="20"/>
                  <w:u w:val="single"/>
                </w:rPr>
                <w:t>Exhibits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318f7ad1bc40e087c067c651645c3c_121">
              <w:r>
                <w:rPr>
                  <w:rStyle w:val="InternetLink"/>
                  <w:rFonts w:ascii="Times New Roman;serif" w:hAnsi="Times New Roman;serif"/>
                  <w:b w:val="false"/>
                  <w:color w:val="0000FF"/>
                  <w:sz w:val="20"/>
                  <w:u w:val="single"/>
                </w:rPr>
                <w:t>31</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2318f7ad1bc40e087c067c651645c3c_124">
              <w:r>
                <w:rPr>
                  <w:rStyle w:val="InternetLink"/>
                  <w:rFonts w:ascii="Times New Roman;serif" w:hAnsi="Times New Roman;serif"/>
                  <w:b w:val="false"/>
                  <w:color w:val="0000FF"/>
                  <w:sz w:val="20"/>
                  <w:u w:val="single"/>
                </w:rPr>
                <w:t>Signatures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318f7ad1bc40e087c067c651645c3c_124">
              <w:r>
                <w:rPr>
                  <w:rStyle w:val="InternetLink"/>
                  <w:rFonts w:ascii="Times New Roman;serif" w:hAnsi="Times New Roman;serif"/>
                  <w:b w:val="false"/>
                  <w:color w:val="0000FF"/>
                  <w:sz w:val="20"/>
                  <w:u w:val="single"/>
                </w:rPr>
                <w:t>32</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 (Unaudited)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Condensed Consolidated Balance Sheets</w:t>
      </w:r>
    </w:p>
    <w:tbl>
      <w:tblPr>
        <w:tblW w:w="10205" w:type="dxa"/>
        <w:jc w:val="left"/>
        <w:tblInd w:w="0" w:type="dxa"/>
        <w:tblLayout w:type="fixed"/>
        <w:tblCellMar>
          <w:top w:w="28" w:type="dxa"/>
          <w:left w:w="28" w:type="dxa"/>
          <w:bottom w:w="28" w:type="dxa"/>
          <w:right w:w="28" w:type="dxa"/>
        </w:tblCellMar>
      </w:tblPr>
      <w:tblGrid>
        <w:gridCol w:w="2622"/>
        <w:gridCol w:w="2101"/>
        <w:gridCol w:w="2115"/>
        <w:gridCol w:w="224"/>
        <w:gridCol w:w="1037"/>
        <w:gridCol w:w="115"/>
        <w:gridCol w:w="109"/>
        <w:gridCol w:w="109"/>
        <w:gridCol w:w="109"/>
        <w:gridCol w:w="245"/>
        <w:gridCol w:w="1135"/>
        <w:gridCol w:w="126"/>
        <w:gridCol w:w="158"/>
      </w:tblGrid>
      <w:tr>
        <w:trPr/>
        <w:tc>
          <w:tcPr>
            <w:tcW w:w="2622"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c>
          <w:tcPr>
            <w:tcW w:w="2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share data)</w:t>
            </w:r>
          </w:p>
        </w:tc>
        <w:tc>
          <w:tcPr>
            <w:tcW w:w="13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30, 2025</w:t>
            </w:r>
          </w:p>
        </w:tc>
        <w:tc>
          <w:tcPr>
            <w:tcW w:w="158" w:type="dxa"/>
            <w:tcBorders/>
            <w:vAlign w:val="center"/>
          </w:tcPr>
          <w:p>
            <w:pPr>
              <w:pStyle w:val="TableContents"/>
              <w:bidi w:val="0"/>
              <w:spacing w:before="0" w:after="283"/>
              <w:jc w:val="left"/>
              <w:rPr>
                <w:sz w:val="4"/>
                <w:szCs w:val="4"/>
              </w:rPr>
            </w:pPr>
            <w:r>
              <w:rPr>
                <w:sz w:val="4"/>
                <w:szCs w:val="4"/>
              </w:rPr>
            </w:r>
          </w:p>
        </w:tc>
      </w:tr>
      <w:tr>
        <w:trPr/>
        <w:tc>
          <w:tcPr>
            <w:tcW w:w="6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3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113,653 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94,807 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118,811 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195,783 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receivables, current portion</w:t>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50,158 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46,599 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47,376 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62,776 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2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329,998 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399,965 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receivables, non-current portion</w:t>
            </w:r>
          </w:p>
        </w:tc>
        <w:tc>
          <w:tcPr>
            <w:tcW w:w="12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39,413 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29,950 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15,263 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479,473 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584,028 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1,309,737 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1,309,054 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lease assets</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29,751 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25,842 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83,829 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77,442 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15,129 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17,683 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2,302,593 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2,457,658 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and stockholders' equity</w:t>
            </w:r>
          </w:p>
        </w:tc>
        <w:tc>
          <w:tcPr>
            <w:tcW w:w="13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15,934 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related payroll taxes</w:t>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54,089 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71,804 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current portion</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311,936 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324,750 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38"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 current portion, net</w:t>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359,163 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 portion</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liabilities</w:t>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30,698 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29,593 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2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414,628 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809,734 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2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790,000 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600,000 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 non-current portion, net</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442,635 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441,186 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non-current portion</w:t>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24,648 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21,077 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non-current portion</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94,531 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100,329 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1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$0.01 par value; authorized, 10,000,000 shares; issued, none</w:t>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$0.01 par value; authorized, 200,000,000 shares; issued and outstanding, 40,952,367 shares in 2026 and 42,335,700 shares in 2025</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431,713 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383,696 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133,365 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127,373 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(35,510)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(33,143)</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2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529,978 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478,349 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2,302,593 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2,457,658 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80" w:after="283"/>
        <w:jc w:val="left"/>
        <w:rPr/>
      </w:pPr>
      <w:r>
        <w:rPr/>
      </w:r>
    </w:p>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See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474"/>
        <w:gridCol w:w="1116"/>
        <w:gridCol w:w="1125"/>
        <w:gridCol w:w="274"/>
        <w:gridCol w:w="937"/>
        <w:gridCol w:w="141"/>
        <w:gridCol w:w="109"/>
        <w:gridCol w:w="109"/>
        <w:gridCol w:w="109"/>
        <w:gridCol w:w="274"/>
        <w:gridCol w:w="937"/>
        <w:gridCol w:w="141"/>
        <w:gridCol w:w="109"/>
        <w:gridCol w:w="109"/>
        <w:gridCol w:w="109"/>
        <w:gridCol w:w="253"/>
        <w:gridCol w:w="993"/>
        <w:gridCol w:w="130"/>
        <w:gridCol w:w="109"/>
        <w:gridCol w:w="109"/>
        <w:gridCol w:w="109"/>
        <w:gridCol w:w="251"/>
        <w:gridCol w:w="987"/>
        <w:gridCol w:w="191"/>
      </w:tblGrid>
      <w:tr>
        <w:trPr/>
        <w:tc>
          <w:tcPr>
            <w:tcW w:w="1474"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w:t>
            </w:r>
          </w:p>
        </w:tc>
      </w:tr>
      <w:tr>
        <w:trPr/>
        <w:tc>
          <w:tcPr>
            <w:tcW w:w="3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 share data)</w:t>
            </w:r>
          </w:p>
        </w:tc>
        <w:tc>
          <w:tcPr>
            <w:tcW w:w="13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2025</w:t>
            </w:r>
          </w:p>
        </w:tc>
      </w:tr>
      <w:tr>
        <w:trPr/>
        <w:tc>
          <w:tcPr>
            <w:tcW w:w="3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3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licenses</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63,556 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63,437 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200,116 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172,677 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Maintenance, SaaS, and professional services</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182,449 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186,358 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547,153 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552,488 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2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246,005 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249,795 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747,269 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725,165 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of revenue:</w:t>
            </w:r>
          </w:p>
        </w:tc>
        <w:tc>
          <w:tcPr>
            <w:tcW w:w="13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software licenses</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8,745 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maintenance, SaaS, and professional services</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30,815 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33,919 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95,174 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100,567 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intangibles</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26,626 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31,743 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of revenue</w:t>
            </w:r>
          </w:p>
        </w:tc>
        <w:tc>
          <w:tcPr>
            <w:tcW w:w="12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42,467 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47,536 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131,203 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141,055 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2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203,538 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202,259 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616,066 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584,110 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3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50,462 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51,850 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156,800 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152,823 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development</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46,054 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49,432 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145,368 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142,377 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26,781 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28,308 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85,521 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79,568 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intangibles</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26,162 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26,415 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77,946 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78,286 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Cyber vulnerability response expenses, net</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2,126 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expenses</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8,979 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expenses</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5,035 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5"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r>
      <w:tr>
        <w:trPr/>
        <w:tc>
          <w:tcPr>
            <w:tcW w:w="3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2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156,988 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158,385 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477,849 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469,194 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12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46,550 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43,874 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138,217 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114,916 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w:t>
            </w:r>
          </w:p>
        </w:tc>
        <w:tc>
          <w:tcPr>
            <w:tcW w:w="13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(16,907)</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(17,737)</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(48,064)</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(54,304)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and other, net</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loss, net</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(2,795)</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net</w:t>
            </w:r>
          </w:p>
        </w:tc>
        <w:tc>
          <w:tcPr>
            <w:tcW w:w="12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(17,017)</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(17,668)</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(49,552)</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(55,544)</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2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29,533 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26,206 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88,665 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59,372 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2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6,757 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6,793 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22,003 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11,984 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22,776 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19,413 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66,662 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47,388 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w:t>
            </w:r>
          </w:p>
        </w:tc>
        <w:tc>
          <w:tcPr>
            <w:tcW w:w="1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w:t>
            </w:r>
          </w:p>
        </w:tc>
        <w:tc>
          <w:tcPr>
            <w:tcW w:w="1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41,061 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42,988 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41,706 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43,099 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41,478 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43,717 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42,172 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44,253 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5"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r>
      <w:tr>
        <w:trPr/>
        <w:tc>
          <w:tcPr>
            <w:tcW w:w="3715"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r>
      <w:tr>
        <w:trPr/>
        <w:tc>
          <w:tcPr>
            <w:tcW w:w="3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See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Condensed Consolidated Statements of Comprehensive Income</w:t>
      </w:r>
    </w:p>
    <w:tbl>
      <w:tblPr>
        <w:tblW w:w="10205" w:type="dxa"/>
        <w:jc w:val="center"/>
        <w:tblInd w:w="0" w:type="dxa"/>
        <w:tblLayout w:type="fixed"/>
        <w:tblCellMar>
          <w:top w:w="28" w:type="dxa"/>
          <w:left w:w="28" w:type="dxa"/>
          <w:bottom w:w="28" w:type="dxa"/>
          <w:right w:w="28" w:type="dxa"/>
        </w:tblCellMar>
      </w:tblPr>
      <w:tblGrid>
        <w:gridCol w:w="1229"/>
        <w:gridCol w:w="1079"/>
        <w:gridCol w:w="1084"/>
        <w:gridCol w:w="293"/>
        <w:gridCol w:w="1002"/>
        <w:gridCol w:w="151"/>
        <w:gridCol w:w="109"/>
        <w:gridCol w:w="109"/>
        <w:gridCol w:w="109"/>
        <w:gridCol w:w="293"/>
        <w:gridCol w:w="1002"/>
        <w:gridCol w:w="151"/>
        <w:gridCol w:w="109"/>
        <w:gridCol w:w="109"/>
        <w:gridCol w:w="109"/>
        <w:gridCol w:w="293"/>
        <w:gridCol w:w="1002"/>
        <w:gridCol w:w="151"/>
        <w:gridCol w:w="109"/>
        <w:gridCol w:w="109"/>
        <w:gridCol w:w="109"/>
        <w:gridCol w:w="289"/>
        <w:gridCol w:w="990"/>
        <w:gridCol w:w="215"/>
      </w:tblGrid>
      <w:tr>
        <w:trPr/>
        <w:tc>
          <w:tcPr>
            <w:tcW w:w="122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3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w:t>
            </w:r>
          </w:p>
        </w:tc>
      </w:tr>
      <w:tr>
        <w:trPr/>
        <w:tc>
          <w:tcPr>
            <w:tcW w:w="33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2025</w:t>
            </w:r>
          </w:p>
        </w:tc>
      </w:tr>
      <w:tr>
        <w:trPr/>
        <w:tc>
          <w:tcPr>
            <w:tcW w:w="3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22,776 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19,413 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66,662 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47,388 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(2,367)</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3,788 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2"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4" w:type="dxa"/>
            <w:gridSpan w:val="3"/>
            <w:tcBorders/>
            <w:vAlign w:val="center"/>
          </w:tcPr>
          <w:p>
            <w:pPr>
              <w:pStyle w:val="TableContents"/>
              <w:bidi w:val="0"/>
              <w:spacing w:before="0" w:after="283"/>
              <w:jc w:val="left"/>
              <w:rPr>
                <w:sz w:val="4"/>
                <w:szCs w:val="4"/>
              </w:rPr>
            </w:pPr>
            <w:r>
              <w:rPr>
                <w:sz w:val="4"/>
                <w:szCs w:val="4"/>
              </w:rPr>
            </w:r>
          </w:p>
        </w:tc>
      </w:tr>
      <w:tr>
        <w:trPr/>
        <w:tc>
          <w:tcPr>
            <w:tcW w:w="3392"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4" w:type="dxa"/>
            <w:gridSpan w:val="3"/>
            <w:tcBorders/>
            <w:vAlign w:val="center"/>
          </w:tcPr>
          <w:p>
            <w:pPr>
              <w:pStyle w:val="TableContents"/>
              <w:bidi w:val="0"/>
              <w:spacing w:before="0" w:after="283"/>
              <w:jc w:val="left"/>
              <w:rPr>
                <w:sz w:val="4"/>
                <w:szCs w:val="4"/>
              </w:rPr>
            </w:pPr>
            <w:r>
              <w:rPr>
                <w:sz w:val="4"/>
                <w:szCs w:val="4"/>
              </w:rPr>
            </w:r>
          </w:p>
        </w:tc>
      </w:tr>
      <w:tr>
        <w:trPr/>
        <w:tc>
          <w:tcPr>
            <w:tcW w:w="3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21,640 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20,067 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64,295 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51,176 </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See notes to unaudited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76"/>
        <w:gridCol w:w="338"/>
        <w:gridCol w:w="339"/>
        <w:gridCol w:w="473"/>
        <w:gridCol w:w="266"/>
        <w:gridCol w:w="267"/>
        <w:gridCol w:w="109"/>
        <w:gridCol w:w="109"/>
        <w:gridCol w:w="109"/>
        <w:gridCol w:w="211"/>
        <w:gridCol w:w="466"/>
        <w:gridCol w:w="109"/>
        <w:gridCol w:w="109"/>
        <w:gridCol w:w="109"/>
        <w:gridCol w:w="109"/>
        <w:gridCol w:w="224"/>
        <w:gridCol w:w="878"/>
        <w:gridCol w:w="115"/>
        <w:gridCol w:w="109"/>
        <w:gridCol w:w="109"/>
        <w:gridCol w:w="109"/>
        <w:gridCol w:w="216"/>
        <w:gridCol w:w="847"/>
        <w:gridCol w:w="111"/>
        <w:gridCol w:w="109"/>
        <w:gridCol w:w="109"/>
        <w:gridCol w:w="109"/>
        <w:gridCol w:w="301"/>
        <w:gridCol w:w="1053"/>
        <w:gridCol w:w="157"/>
        <w:gridCol w:w="109"/>
        <w:gridCol w:w="109"/>
        <w:gridCol w:w="109"/>
        <w:gridCol w:w="232"/>
        <w:gridCol w:w="912"/>
        <w:gridCol w:w="179"/>
      </w:tblGrid>
      <w:tr>
        <w:trPr/>
        <w:tc>
          <w:tcPr>
            <w:tcW w:w="87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1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2"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August 31, 2026</w:t>
            </w:r>
          </w:p>
        </w:tc>
      </w:tr>
      <w:tr>
        <w:trPr/>
        <w:tc>
          <w:tcPr>
            <w:tcW w:w="1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 Stockholders' Equity</w:t>
            </w:r>
          </w:p>
        </w:tc>
      </w:tr>
      <w:tr>
        <w:trPr/>
        <w:tc>
          <w:tcPr>
            <w:tcW w:w="15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Number 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1, 2026</w:t>
            </w:r>
          </w:p>
        </w:tc>
        <w:tc>
          <w:tcPr>
            <w:tcW w:w="7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41,312 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415,630 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124,414 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(34,374)</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506,083 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stock under employee stock purchase plan</w:t>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w:t>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3"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r>
      <w:tr>
        <w:trPr/>
        <w:tc>
          <w:tcPr>
            <w:tcW w:w="1553"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r>
      <w:tr>
        <w:trPr/>
        <w:tc>
          <w:tcPr>
            <w:tcW w:w="1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16,079 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16,079 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3"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r>
      <w:tr>
        <w:trPr/>
        <w:tc>
          <w:tcPr>
            <w:tcW w:w="1553"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r>
      <w:tr>
        <w:trPr/>
        <w:tc>
          <w:tcPr>
            <w:tcW w:w="1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repurchases and retirements</w:t>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(16,871)</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22,776 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22,776 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August 31, 2026</w:t>
            </w:r>
          </w:p>
        </w:tc>
        <w:tc>
          <w:tcPr>
            <w:tcW w:w="73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40,952 </w:t>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431,713 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133,365 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(35,510)</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529,978 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81"/>
        <w:gridCol w:w="342"/>
        <w:gridCol w:w="343"/>
        <w:gridCol w:w="473"/>
        <w:gridCol w:w="266"/>
        <w:gridCol w:w="267"/>
        <w:gridCol w:w="109"/>
        <w:gridCol w:w="109"/>
        <w:gridCol w:w="109"/>
        <w:gridCol w:w="211"/>
        <w:gridCol w:w="466"/>
        <w:gridCol w:w="109"/>
        <w:gridCol w:w="109"/>
        <w:gridCol w:w="109"/>
        <w:gridCol w:w="109"/>
        <w:gridCol w:w="223"/>
        <w:gridCol w:w="876"/>
        <w:gridCol w:w="115"/>
        <w:gridCol w:w="109"/>
        <w:gridCol w:w="109"/>
        <w:gridCol w:w="109"/>
        <w:gridCol w:w="216"/>
        <w:gridCol w:w="846"/>
        <w:gridCol w:w="111"/>
        <w:gridCol w:w="109"/>
        <w:gridCol w:w="109"/>
        <w:gridCol w:w="109"/>
        <w:gridCol w:w="300"/>
        <w:gridCol w:w="1050"/>
        <w:gridCol w:w="157"/>
        <w:gridCol w:w="109"/>
        <w:gridCol w:w="109"/>
        <w:gridCol w:w="109"/>
        <w:gridCol w:w="231"/>
        <w:gridCol w:w="910"/>
        <w:gridCol w:w="177"/>
      </w:tblGrid>
      <w:tr>
        <w:trPr/>
        <w:tc>
          <w:tcPr>
            <w:tcW w:w="88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9"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 August 31, 2026</w:t>
            </w:r>
          </w:p>
        </w:tc>
      </w:tr>
      <w:tr>
        <w:trPr/>
        <w:tc>
          <w:tcPr>
            <w:tcW w:w="1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 Stockholders' Equity</w:t>
            </w:r>
          </w:p>
        </w:tc>
      </w:tr>
      <w:tr>
        <w:trPr/>
        <w:tc>
          <w:tcPr>
            <w:tcW w:w="15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Number 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1, 2025</w:t>
            </w:r>
          </w:p>
        </w:tc>
        <w:tc>
          <w:tcPr>
            <w:tcW w:w="7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42,336 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383,696 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127,373 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(33,143)</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478,349 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stock under employee stock purchase plan</w:t>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w:t>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Vesting of RSUs</w:t>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Withholding tax payments related to net issuance of RSUs</w:t>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(6,627)</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(6,629)</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55,062 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55,062 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repurchases and retirements</w:t>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(2,181)</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(60,670)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(71,962)</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66,662 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66,662 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(2,367)</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August 31, 2026</w:t>
            </w:r>
          </w:p>
        </w:tc>
        <w:tc>
          <w:tcPr>
            <w:tcW w:w="73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40,952 </w:t>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431,713 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133,365 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(35,510)</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529,978 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81"/>
        <w:gridCol w:w="342"/>
        <w:gridCol w:w="343"/>
        <w:gridCol w:w="473"/>
        <w:gridCol w:w="266"/>
        <w:gridCol w:w="267"/>
        <w:gridCol w:w="109"/>
        <w:gridCol w:w="109"/>
        <w:gridCol w:w="109"/>
        <w:gridCol w:w="211"/>
        <w:gridCol w:w="466"/>
        <w:gridCol w:w="109"/>
        <w:gridCol w:w="109"/>
        <w:gridCol w:w="109"/>
        <w:gridCol w:w="109"/>
        <w:gridCol w:w="223"/>
        <w:gridCol w:w="876"/>
        <w:gridCol w:w="115"/>
        <w:gridCol w:w="109"/>
        <w:gridCol w:w="109"/>
        <w:gridCol w:w="109"/>
        <w:gridCol w:w="216"/>
        <w:gridCol w:w="846"/>
        <w:gridCol w:w="111"/>
        <w:gridCol w:w="109"/>
        <w:gridCol w:w="109"/>
        <w:gridCol w:w="109"/>
        <w:gridCol w:w="300"/>
        <w:gridCol w:w="1050"/>
        <w:gridCol w:w="157"/>
        <w:gridCol w:w="109"/>
        <w:gridCol w:w="109"/>
        <w:gridCol w:w="109"/>
        <w:gridCol w:w="231"/>
        <w:gridCol w:w="910"/>
        <w:gridCol w:w="177"/>
      </w:tblGrid>
      <w:tr>
        <w:trPr/>
        <w:tc>
          <w:tcPr>
            <w:tcW w:w="88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9"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August 31, 2025</w:t>
            </w:r>
          </w:p>
        </w:tc>
      </w:tr>
      <w:tr>
        <w:trPr/>
        <w:tc>
          <w:tcPr>
            <w:tcW w:w="1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 Stockholders' Equity</w:t>
            </w:r>
          </w:p>
        </w:tc>
      </w:tr>
      <w:tr>
        <w:trPr/>
        <w:tc>
          <w:tcPr>
            <w:tcW w:w="15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Number 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1, 2025</w:t>
            </w:r>
          </w:p>
        </w:tc>
        <w:tc>
          <w:tcPr>
            <w:tcW w:w="7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43,101 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362,091 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123,254 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(33,075)</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452,701 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stock under employee stock purchase plan</w:t>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w:t>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1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Withholding tax payments related to net issuance of RSUs</w:t>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156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1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repurchases and retirements</w:t>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(10,375)</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(14,994)</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19,413 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19,413 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August 31, 2025</w:t>
            </w:r>
          </w:p>
        </w:tc>
        <w:tc>
          <w:tcPr>
            <w:tcW w:w="7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42,905 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371,623 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138,051 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(32,421)</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477,682 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83"/>
        <w:gridCol w:w="344"/>
        <w:gridCol w:w="345"/>
        <w:gridCol w:w="473"/>
        <w:gridCol w:w="266"/>
        <w:gridCol w:w="267"/>
        <w:gridCol w:w="109"/>
        <w:gridCol w:w="109"/>
        <w:gridCol w:w="109"/>
        <w:gridCol w:w="211"/>
        <w:gridCol w:w="466"/>
        <w:gridCol w:w="109"/>
        <w:gridCol w:w="109"/>
        <w:gridCol w:w="109"/>
        <w:gridCol w:w="109"/>
        <w:gridCol w:w="224"/>
        <w:gridCol w:w="877"/>
        <w:gridCol w:w="115"/>
        <w:gridCol w:w="109"/>
        <w:gridCol w:w="109"/>
        <w:gridCol w:w="109"/>
        <w:gridCol w:w="216"/>
        <w:gridCol w:w="847"/>
        <w:gridCol w:w="111"/>
        <w:gridCol w:w="109"/>
        <w:gridCol w:w="109"/>
        <w:gridCol w:w="109"/>
        <w:gridCol w:w="300"/>
        <w:gridCol w:w="1052"/>
        <w:gridCol w:w="157"/>
        <w:gridCol w:w="109"/>
        <w:gridCol w:w="109"/>
        <w:gridCol w:w="109"/>
        <w:gridCol w:w="230"/>
        <w:gridCol w:w="900"/>
        <w:gridCol w:w="177"/>
      </w:tblGrid>
      <w:tr>
        <w:trPr/>
        <w:tc>
          <w:tcPr>
            <w:tcW w:w="88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 August 31, 2025</w:t>
            </w:r>
          </w:p>
        </w:tc>
      </w:tr>
      <w:tr>
        <w:trPr/>
        <w:tc>
          <w:tcPr>
            <w:tcW w:w="1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 Shareholders' Equity</w:t>
            </w:r>
          </w:p>
        </w:tc>
      </w:tr>
      <w:tr>
        <w:trPr/>
        <w:tc>
          <w:tcPr>
            <w:tcW w:w="15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Number 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1, 2024</w:t>
            </w:r>
          </w:p>
        </w:tc>
        <w:tc>
          <w:tcPr>
            <w:tcW w:w="7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43,361 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354,158 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120,405 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(36,209)</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438,788 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stock under employee stock purchase plan</w:t>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w:t>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Vesting of RSUs</w:t>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Withholding tax payments related to net issuance of RSUs</w:t>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(10,099)</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(10,101)</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47,394 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47,394 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repurchases and retirements</w:t>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(35,414)</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(29,742)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(65,168)</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47,388 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47,388 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August 31, 2025</w:t>
            </w:r>
          </w:p>
        </w:tc>
        <w:tc>
          <w:tcPr>
            <w:tcW w:w="73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42,905 </w:t>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371,623 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138,051 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(32,421)</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477,682 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See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529"/>
        <w:gridCol w:w="2208"/>
        <w:gridCol w:w="2215"/>
        <w:gridCol w:w="265"/>
        <w:gridCol w:w="1039"/>
        <w:gridCol w:w="136"/>
        <w:gridCol w:w="109"/>
        <w:gridCol w:w="109"/>
        <w:gridCol w:w="109"/>
        <w:gridCol w:w="287"/>
        <w:gridCol w:w="984"/>
        <w:gridCol w:w="215"/>
      </w:tblGrid>
      <w:tr>
        <w:trPr/>
        <w:tc>
          <w:tcPr>
            <w:tcW w:w="2529" w:type="dxa"/>
            <w:tcBorders/>
            <w:vAlign w:val="center"/>
          </w:tcPr>
          <w:p>
            <w:pPr>
              <w:pStyle w:val="TableContents"/>
              <w:bidi w:val="0"/>
              <w:spacing w:before="0" w:after="283"/>
              <w:jc w:val="left"/>
              <w:rPr>
                <w:sz w:val="4"/>
                <w:szCs w:val="4"/>
              </w:rPr>
            </w:pPr>
            <w:r>
              <w:rPr>
                <w:sz w:val="4"/>
                <w:szCs w:val="4"/>
              </w:rPr>
            </w:r>
          </w:p>
        </w:tc>
        <w:tc>
          <w:tcPr>
            <w:tcW w:w="2208" w:type="dxa"/>
            <w:tcBorders/>
            <w:vAlign w:val="center"/>
          </w:tcPr>
          <w:p>
            <w:pPr>
              <w:pStyle w:val="TableContents"/>
              <w:bidi w:val="0"/>
              <w:spacing w:before="0" w:after="283"/>
              <w:jc w:val="left"/>
              <w:rPr>
                <w:sz w:val="4"/>
                <w:szCs w:val="4"/>
              </w:rPr>
            </w:pPr>
            <w:r>
              <w:rPr>
                <w:sz w:val="4"/>
                <w:szCs w:val="4"/>
              </w:rPr>
            </w:r>
          </w:p>
        </w:tc>
        <w:tc>
          <w:tcPr>
            <w:tcW w:w="221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6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w:t>
            </w:r>
          </w:p>
        </w:tc>
      </w:tr>
      <w:tr>
        <w:trPr/>
        <w:tc>
          <w:tcPr>
            <w:tcW w:w="69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2025</w:t>
            </w:r>
          </w:p>
        </w:tc>
      </w:tr>
      <w:tr>
        <w:trPr/>
        <w:tc>
          <w:tcPr>
            <w:tcW w:w="6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66,662 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47,388 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flows provided by operating activities:</w:t>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of property and equipment</w:t>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4,753 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intangibles and other</w:t>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104,572 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111,081 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discount and issuance costs</w:t>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3,064 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55,062 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47,394 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lease expense</w:t>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8,749 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(6,454)</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(12,884)</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losses and other sales allowances</w:t>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3,510 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55,074 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9,129 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16,265 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4,575 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2"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6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liabilities</w:t>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(19,691)</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(15,016)</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(8,159)</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(9,533)</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w:t>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(4,152)</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(19,306)</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(30,952)</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flows provided by operating activities</w:t>
            </w:r>
          </w:p>
        </w:tc>
        <w:tc>
          <w:tcPr>
            <w:tcW w:w="13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265,474 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172,389 </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2"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6952"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6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(6,264)</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(2,840)</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acquisitions, net of cash acquired</w:t>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(20,653)</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flows used in investing activities</w:t>
            </w:r>
          </w:p>
        </w:tc>
        <w:tc>
          <w:tcPr>
            <w:tcW w:w="13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(6,264)</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(23,493)</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equity plans</w:t>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16,040 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taxes related to net share settlements of equity awards</w:t>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(6,629)</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(10,101)</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(71,962)</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(65,108)</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2"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6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equivalent payments to stockholders</w:t>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convertible senior notes</w:t>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(360,000)</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revolving line of credit</w:t>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360,000 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revolving line of credit</w:t>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(170,000)</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(110,000)</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2"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6" w:type="dxa"/>
            <w:gridSpan w:val="3"/>
            <w:tcBorders/>
            <w:vAlign w:val="center"/>
          </w:tcPr>
          <w:p>
            <w:pPr>
              <w:pStyle w:val="TableContents"/>
              <w:bidi w:val="0"/>
              <w:spacing w:before="0" w:after="283"/>
              <w:jc w:val="left"/>
              <w:rPr>
                <w:sz w:val="4"/>
                <w:szCs w:val="4"/>
              </w:rPr>
            </w:pPr>
            <w:r>
              <w:rPr>
                <w:sz w:val="4"/>
                <w:szCs w:val="4"/>
              </w:rPr>
            </w:r>
          </w:p>
        </w:tc>
      </w:tr>
      <w:tr>
        <w:trPr/>
        <w:tc>
          <w:tcPr>
            <w:tcW w:w="6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credit facility debt issuance costs</w:t>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(5,961)</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flows used in financing activities</w:t>
            </w:r>
          </w:p>
        </w:tc>
        <w:tc>
          <w:tcPr>
            <w:tcW w:w="13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(238,286)</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(175,784)</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13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(2,078)</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7,819 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w:t>
            </w:r>
          </w:p>
        </w:tc>
        <w:tc>
          <w:tcPr>
            <w:tcW w:w="13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18,846 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(19,069)</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beginning of period</w:t>
            </w:r>
          </w:p>
        </w:tc>
        <w:tc>
          <w:tcPr>
            <w:tcW w:w="13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94,807 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118,077 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end of period</w:t>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113,653 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99,008 </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Condensed Consolidated Statements of Cash Flows, continued</w:t>
      </w:r>
    </w:p>
    <w:tbl>
      <w:tblPr>
        <w:tblW w:w="10205" w:type="dxa"/>
        <w:jc w:val="center"/>
        <w:tblInd w:w="0" w:type="dxa"/>
        <w:tblLayout w:type="fixed"/>
        <w:tblCellMar>
          <w:top w:w="28" w:type="dxa"/>
          <w:left w:w="28" w:type="dxa"/>
          <w:bottom w:w="28" w:type="dxa"/>
          <w:right w:w="28" w:type="dxa"/>
        </w:tblCellMar>
      </w:tblPr>
      <w:tblGrid>
        <w:gridCol w:w="2569"/>
        <w:gridCol w:w="2248"/>
        <w:gridCol w:w="2264"/>
        <w:gridCol w:w="278"/>
        <w:gridCol w:w="952"/>
        <w:gridCol w:w="143"/>
        <w:gridCol w:w="109"/>
        <w:gridCol w:w="109"/>
        <w:gridCol w:w="109"/>
        <w:gridCol w:w="275"/>
        <w:gridCol w:w="943"/>
        <w:gridCol w:w="206"/>
      </w:tblGrid>
      <w:tr>
        <w:trPr/>
        <w:tc>
          <w:tcPr>
            <w:tcW w:w="2569" w:type="dxa"/>
            <w:tcBorders/>
            <w:vAlign w:val="center"/>
          </w:tcPr>
          <w:p>
            <w:pPr>
              <w:pStyle w:val="TableContents"/>
              <w:bidi w:val="0"/>
              <w:spacing w:before="0" w:after="283"/>
              <w:jc w:val="left"/>
              <w:rPr>
                <w:sz w:val="4"/>
                <w:szCs w:val="4"/>
              </w:rPr>
            </w:pPr>
            <w:r>
              <w:rPr>
                <w:sz w:val="4"/>
                <w:szCs w:val="4"/>
              </w:rPr>
            </w:r>
          </w:p>
        </w:tc>
        <w:tc>
          <w:tcPr>
            <w:tcW w:w="2248" w:type="dxa"/>
            <w:tcBorders/>
            <w:vAlign w:val="center"/>
          </w:tcPr>
          <w:p>
            <w:pPr>
              <w:pStyle w:val="TableContents"/>
              <w:bidi w:val="0"/>
              <w:spacing w:before="0" w:after="283"/>
              <w:jc w:val="left"/>
              <w:rPr>
                <w:sz w:val="4"/>
                <w:szCs w:val="4"/>
              </w:rPr>
            </w:pPr>
            <w:r>
              <w:rPr>
                <w:sz w:val="4"/>
                <w:szCs w:val="4"/>
              </w:rPr>
            </w:r>
          </w:p>
        </w:tc>
        <w:tc>
          <w:tcPr>
            <w:tcW w:w="226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7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w:t>
            </w:r>
          </w:p>
        </w:tc>
      </w:tr>
      <w:tr>
        <w:trPr/>
        <w:tc>
          <w:tcPr>
            <w:tcW w:w="7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3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2025</w:t>
            </w:r>
          </w:p>
        </w:tc>
      </w:tr>
      <w:tr>
        <w:trPr/>
        <w:tc>
          <w:tcPr>
            <w:tcW w:w="7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disclosure:</w:t>
            </w:r>
          </w:p>
        </w:tc>
        <w:tc>
          <w:tcPr>
            <w:tcW w:w="13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paid for income taxes, net of refunds of $1,127 and $1,875 in 2026 and 2025, respectively</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13,412 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39,414 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44,202 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investing and financing activities:</w:t>
            </w:r>
          </w:p>
        </w:tc>
        <w:tc>
          <w:tcPr>
            <w:tcW w:w="1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fair value of restricted stock awards, restricted stock units, and deferred stock units on date vested</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18,573 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30,075 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1" w:type="dxa"/>
            <w:gridSpan w:val="3"/>
            <w:tcBorders/>
            <w:vAlign w:val="center"/>
          </w:tcPr>
          <w:p>
            <w:pPr>
              <w:pStyle w:val="TableContents"/>
              <w:bidi w:val="0"/>
              <w:spacing w:before="0" w:after="283"/>
              <w:jc w:val="left"/>
              <w:rPr>
                <w:sz w:val="4"/>
                <w:szCs w:val="4"/>
              </w:rPr>
            </w:pPr>
            <w:r>
              <w:rPr>
                <w:sz w:val="4"/>
                <w:szCs w:val="4"/>
              </w:rPr>
            </w:r>
          </w:p>
        </w:tc>
        <w:tc>
          <w:tcPr>
            <w:tcW w:w="13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r>
      <w:tr>
        <w:trPr/>
        <w:tc>
          <w:tcPr>
            <w:tcW w:w="7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Operating lease liabilities arising from obtaining right-of-use lease assets</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2,918 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Contingent consideration payable in Nuclia acquisition</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80" w:after="283"/>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See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 Summary of Significant Accounting Policies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condensed consolidated financial statements of Progress Software Corporation ("Progress," the "Company," "we," "us," or "our") included herein are prepared in accordance with accounting principles generally accepted in the United States of America ("GAAP") and pursuant to the rules and regulations of the U.S. Securities and Exchange Commission ("SEC"). Certain information in the footnote disclosures of the financial statements has been condensed or omitted where it substantially duplicated information provided in the Company's latest audited consolidated financial statements, in accordance with the rules and regulations of the SEC. In our opinion, the financial statements include all adjustments of a normal recurring nature necessary for fair financial statement presentation. Interim results are not necessarily indicative of the results to be expected for the full year ending November 30, 2026. We have made estimates and assumptions that affect the amounts reported and disclosed in the financial statements and accompanying footnote disclosures. Actual results could differ significantly from these estimates.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These unaudited condensed consolidated financial statements should be read in conjunction with the Company's audited consolidated financial statements and footnote disclosures included in our Annual Report on Form 10-K for the fiscal year ended November 30, 2025, as filed with the SEC on January 20, 2026 (our "2025 Annual Report").</w: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Recently Issued Accounting Pronouncements Not Yet Adopted</w:t>
      </w:r>
    </w:p>
    <w:p>
      <w:pPr>
        <w:pStyle w:val="TextBody"/>
        <w:bidi w:val="0"/>
        <w:spacing w:lineRule="auto" w:line="288" w:before="0" w:after="200"/>
        <w:jc w:val="left"/>
        <w:rPr/>
      </w:pPr>
      <w:r>
        <w:rPr>
          <w:rFonts w:ascii="Times New Roman;serif" w:hAnsi="Times New Roman;serif"/>
          <w:b w:val="false"/>
          <w:color w:val="000000"/>
          <w:sz w:val="20"/>
        </w:rPr>
        <w:t xml:space="preserve">In December 2023, the FASB issued ASU No. 2023-09, </w:t>
      </w:r>
      <w:r>
        <w:rPr>
          <w:rFonts w:ascii="Times New Roman;serif" w:hAnsi="Times New Roman;serif"/>
          <w:b w:val="false"/>
          <w:i/>
          <w:color w:val="000000"/>
          <w:sz w:val="20"/>
        </w:rPr>
        <w:t xml:space="preserve">Income Taxes (Topic 740): Improvements to Income Tax Disclosures </w:t>
      </w:r>
      <w:r>
        <w:rPr>
          <w:rFonts w:ascii="Times New Roman;serif" w:hAnsi="Times New Roman;serif"/>
          <w:b w:val="false"/>
          <w:color w:val="000000"/>
          <w:sz w:val="20"/>
        </w:rPr>
        <w:t>("ASU 2023-09")</w:t>
      </w:r>
      <w:r>
        <w:rPr>
          <w:rFonts w:ascii="Times New Roman;serif" w:hAnsi="Times New Roman;serif"/>
          <w:b w:val="false"/>
          <w:i/>
          <w:color w:val="000000"/>
          <w:sz w:val="20"/>
        </w:rPr>
        <w:t xml:space="preserve">. </w:t>
      </w:r>
      <w:r>
        <w:rPr>
          <w:rFonts w:ascii="Times New Roman;serif" w:hAnsi="Times New Roman;serif"/>
          <w:b w:val="false"/>
          <w:color w:val="000000"/>
          <w:sz w:val="20"/>
        </w:rPr>
        <w:t>ASU 2023-09 is intended to improve the transparency and decision usefulness of income tax disclosures, primarily related to the rate reconciliation and income taxes paid information. ASU 2023-09 is effective for us beginning with the annual period ending November 30, 2026, allowing for adoption on a prospective basis or a retrospective option. The adoption of this standard only impacts disclosures and is not expected to have a material impact on our consolidated financial statements.</w:t>
      </w:r>
    </w:p>
    <w:p>
      <w:pPr>
        <w:pStyle w:val="TextBody"/>
        <w:bidi w:val="0"/>
        <w:spacing w:lineRule="auto" w:line="288" w:before="0" w:after="200"/>
        <w:jc w:val="left"/>
        <w:rPr/>
      </w:pPr>
      <w:r>
        <w:rPr>
          <w:rFonts w:ascii="Times New Roman;serif" w:hAnsi="Times New Roman;serif"/>
          <w:b w:val="false"/>
          <w:color w:val="000000"/>
          <w:sz w:val="20"/>
        </w:rPr>
        <w:t xml:space="preserve">In November 2024, the FASB issued ASU No. 2024-03, </w:t>
      </w:r>
      <w:r>
        <w:rPr>
          <w:rFonts w:ascii="Times New Roman;serif" w:hAnsi="Times New Roman;serif"/>
          <w:b w:val="false"/>
          <w:i/>
          <w:color w:val="000000"/>
          <w:sz w:val="20"/>
        </w:rPr>
        <w:t>Income Statement - Reporting Comprehensive Income - Expense Disaggregation Disclosures (Subtopic 220-40)</w:t>
      </w:r>
      <w:r>
        <w:rPr>
          <w:rFonts w:ascii="Times New Roman;serif" w:hAnsi="Times New Roman;serif"/>
          <w:b w:val="false"/>
          <w:color w:val="000000"/>
          <w:sz w:val="20"/>
        </w:rPr>
        <w:t xml:space="preserve">: </w:t>
      </w:r>
      <w:r>
        <w:rPr>
          <w:rFonts w:ascii="Times New Roman;serif" w:hAnsi="Times New Roman;serif"/>
          <w:b w:val="false"/>
          <w:i/>
          <w:color w:val="000000"/>
          <w:sz w:val="20"/>
        </w:rPr>
        <w:t>Disaggregation of Income Statement Expenses</w:t>
      </w:r>
      <w:r>
        <w:rPr>
          <w:color w:val="000000"/>
        </w:rPr>
        <w:t xml:space="preserve"> </w:t>
      </w:r>
      <w:r>
        <w:rPr>
          <w:rFonts w:ascii="Times New Roman;serif" w:hAnsi="Times New Roman;serif"/>
          <w:b w:val="false"/>
          <w:color w:val="000000"/>
          <w:sz w:val="20"/>
        </w:rPr>
        <w:t xml:space="preserve">("ASU 2024-03"), and in January 2025, the FASB issued ASU No. 2025-01, </w:t>
      </w:r>
      <w:r>
        <w:rPr>
          <w:rFonts w:ascii="Times New Roman;serif" w:hAnsi="Times New Roman;serif"/>
          <w:b w:val="false"/>
          <w:i/>
          <w:color w:val="000000"/>
          <w:sz w:val="20"/>
        </w:rPr>
        <w:t>Income Statement - Reporting Comprehensive Income - Expense Disaggregation Disclosures (Subtopic 220-40): Clarifying the Effective Date</w:t>
      </w:r>
      <w:r>
        <w:rPr>
          <w:color w:val="000000"/>
        </w:rPr>
        <w:t xml:space="preserve"> </w:t>
      </w:r>
      <w:r>
        <w:rPr>
          <w:rFonts w:ascii="Times New Roman;serif" w:hAnsi="Times New Roman;serif"/>
          <w:b w:val="false"/>
          <w:color w:val="000000"/>
          <w:sz w:val="20"/>
        </w:rPr>
        <w:t>("ASU 2025-01"). ASU 2024-03 requires additional disclosure of the nature of expenses included in the income statement as well as disclosures about specific types of expenses included in the expense captions presented in the income statement. ASU 2024-03, as clarified by ASU 2025-01, is effective for us for our annual reporting for fiscal 2028 and for interim period reporting beginning in fiscal 2029 on a prospective basis. Both early adoption and retrospective application are permitted. We are currently evaluating the impact that the adoption of these standards will have on our consolidated financial statements and disclosures.</w:t>
      </w:r>
    </w:p>
    <w:p>
      <w:pPr>
        <w:pStyle w:val="TextBody"/>
        <w:bidi w:val="0"/>
        <w:spacing w:lineRule="auto" w:line="288" w:before="0" w:after="200"/>
        <w:jc w:val="left"/>
        <w:rPr/>
      </w:pPr>
      <w:r>
        <w:rPr>
          <w:rFonts w:ascii="Times New Roman;serif" w:hAnsi="Times New Roman;serif"/>
          <w:b w:val="false"/>
          <w:color w:val="000000"/>
          <w:sz w:val="20"/>
        </w:rPr>
        <w:t xml:space="preserve">In September 2025, the FASB issued ASU No. 2025-06, </w:t>
      </w:r>
      <w:r>
        <w:rPr>
          <w:rFonts w:ascii="Times New Roman;serif" w:hAnsi="Times New Roman;serif"/>
          <w:b w:val="false"/>
          <w:i/>
          <w:color w:val="000000"/>
          <w:sz w:val="20"/>
        </w:rPr>
        <w:t>Intangibles - Goodwill and Other - Internal-Use Software (Subtopic 350-40): Targeted Improvements to the Accounting for Internal-Use Software</w:t>
      </w:r>
      <w:r>
        <w:rPr>
          <w:color w:val="000000"/>
        </w:rPr>
        <w:t xml:space="preserve"> </w:t>
      </w:r>
      <w:r>
        <w:rPr>
          <w:rFonts w:ascii="Times New Roman;serif" w:hAnsi="Times New Roman;serif"/>
          <w:b w:val="false"/>
          <w:color w:val="000000"/>
          <w:sz w:val="20"/>
        </w:rPr>
        <w:t>("ASU 2025-06"), which modernizes the accounting for internal-use software. ASU 2025-06 removes all references to software development stages and requires capitalization of software costs when management has committed to the software project and it is probable the software will be completed and perform its intended use. ASU 2025-06 will be effective for us in our first quarter of 2029, and may be adopted on a prospective basis, full retrospective basis, or modified prospective basis with a cumulative-effect adjustment through retained earnings. Early adoption is permitted. We are currently evaluating the timing, method of adoption, and impact of ASU 2025-06 on our consolidated financial statements and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2: Fair Value Measurements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Assets and Liabilities Measured at Fair Value on a Recurring Basis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details the fair value measurements within the fair value hierarchy of our financial assets and liabilities at August 31, 2026:</w:t>
      </w:r>
    </w:p>
    <w:p>
      <w:pPr>
        <w:pStyle w:val="TextBody"/>
        <w:bidi w:val="0"/>
        <w:spacing w:lineRule="auto" w:line="288" w:before="0" w:after="0"/>
        <w:jc w:val="left"/>
        <w:rPr>
          <w:color w:val="000000"/>
        </w:rPr>
      </w:pPr>
      <w:r>
        <w:rPr>
          <w:color w:val="000000"/>
        </w:rPr>
        <w:t> </w:t>
      </w:r>
    </w:p>
    <w:tbl>
      <w:tblPr>
        <w:tblW w:w="7344" w:type="dxa"/>
        <w:jc w:val="left"/>
        <w:tblInd w:w="0" w:type="dxa"/>
        <w:tblLayout w:type="fixed"/>
        <w:tblCellMar>
          <w:top w:w="28" w:type="dxa"/>
          <w:left w:w="28" w:type="dxa"/>
          <w:bottom w:w="28" w:type="dxa"/>
          <w:right w:w="28" w:type="dxa"/>
        </w:tblCellMar>
      </w:tblPr>
      <w:tblGrid>
        <w:gridCol w:w="913"/>
        <w:gridCol w:w="801"/>
        <w:gridCol w:w="806"/>
        <w:gridCol w:w="375"/>
        <w:gridCol w:w="856"/>
        <w:gridCol w:w="194"/>
        <w:gridCol w:w="109"/>
        <w:gridCol w:w="109"/>
        <w:gridCol w:w="109"/>
        <w:gridCol w:w="211"/>
        <w:gridCol w:w="466"/>
        <w:gridCol w:w="109"/>
        <w:gridCol w:w="109"/>
        <w:gridCol w:w="109"/>
        <w:gridCol w:w="109"/>
        <w:gridCol w:w="211"/>
        <w:gridCol w:w="541"/>
        <w:gridCol w:w="109"/>
        <w:gridCol w:w="109"/>
        <w:gridCol w:w="109"/>
        <w:gridCol w:w="109"/>
        <w:gridCol w:w="211"/>
        <w:gridCol w:w="406"/>
        <w:gridCol w:w="154"/>
      </w:tblGrid>
      <w:tr>
        <w:trPr/>
        <w:tc>
          <w:tcPr>
            <w:tcW w:w="913"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 Measurements Using</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i/>
                <w:color w:val="000000"/>
                <w:sz w:val="16"/>
              </w:rPr>
              <w:t>(in thousands)</w:t>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3</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Assets</w:t>
            </w:r>
          </w:p>
        </w:tc>
        <w:tc>
          <w:tcPr>
            <w:tcW w:w="14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Liabilities</w:t>
            </w:r>
          </w:p>
        </w:tc>
        <w:tc>
          <w:tcPr>
            <w:tcW w:w="14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derivatives</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details the fair value measurements within the fair value hierarchy of our financial assets and liabilities at November 30, 2025:</w:t>
      </w:r>
    </w:p>
    <w:p>
      <w:pPr>
        <w:pStyle w:val="TextBody"/>
        <w:bidi w:val="0"/>
        <w:spacing w:lineRule="auto" w:line="288" w:before="0" w:after="0"/>
        <w:jc w:val="left"/>
        <w:rPr>
          <w:color w:val="000000"/>
        </w:rPr>
      </w:pPr>
      <w:r>
        <w:rPr>
          <w:color w:val="000000"/>
        </w:rPr>
        <w:t> </w:t>
      </w:r>
    </w:p>
    <w:tbl>
      <w:tblPr>
        <w:tblW w:w="7523" w:type="dxa"/>
        <w:jc w:val="left"/>
        <w:tblInd w:w="0" w:type="dxa"/>
        <w:tblLayout w:type="fixed"/>
        <w:tblCellMar>
          <w:top w:w="28" w:type="dxa"/>
          <w:left w:w="28" w:type="dxa"/>
          <w:bottom w:w="28" w:type="dxa"/>
          <w:right w:w="28" w:type="dxa"/>
        </w:tblCellMar>
      </w:tblPr>
      <w:tblGrid>
        <w:gridCol w:w="913"/>
        <w:gridCol w:w="801"/>
        <w:gridCol w:w="806"/>
        <w:gridCol w:w="297"/>
        <w:gridCol w:w="974"/>
        <w:gridCol w:w="153"/>
        <w:gridCol w:w="109"/>
        <w:gridCol w:w="109"/>
        <w:gridCol w:w="109"/>
        <w:gridCol w:w="211"/>
        <w:gridCol w:w="466"/>
        <w:gridCol w:w="109"/>
        <w:gridCol w:w="109"/>
        <w:gridCol w:w="109"/>
        <w:gridCol w:w="109"/>
        <w:gridCol w:w="211"/>
        <w:gridCol w:w="436"/>
        <w:gridCol w:w="109"/>
        <w:gridCol w:w="109"/>
        <w:gridCol w:w="109"/>
        <w:gridCol w:w="109"/>
        <w:gridCol w:w="211"/>
        <w:gridCol w:w="691"/>
        <w:gridCol w:w="154"/>
      </w:tblGrid>
      <w:tr>
        <w:trPr/>
        <w:tc>
          <w:tcPr>
            <w:tcW w:w="913"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 Measurements Using</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i/>
                <w:color w:val="000000"/>
                <w:sz w:val="16"/>
              </w:rPr>
              <w:t>(in thousands)</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3</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Assets</w:t>
            </w:r>
          </w:p>
        </w:tc>
        <w:tc>
          <w:tcPr>
            <w:tcW w:w="14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Liabilities</w:t>
            </w:r>
          </w:p>
        </w:tc>
        <w:tc>
          <w:tcPr>
            <w:tcW w:w="14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derivatives</w:t>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When developing fair value estimates, we maximize the use of observable inputs and minimize the use of unobservable inputs. When available, we use quoted market prices to measure fair value. The valuation technique used to measure fair value for our Level 1 and Level 2 assets is a market approach, using prices and other relevant information generated by market transactions involving identical or comparable assets. If market prices are not available, the fair value measurement is based on models that use primarily market-based parameters including yield curves, volatilities, credit ratings, and currency rates. In certain cases, where market rate assumptions are not available, we are required to make judgments about assumptions market participants would use to estimate the fair value of a financial instrument.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We classify contingent consideration related to the Nuclia acquisition, which occurred in the third fiscal quarter of 2025, within Level 3 of the fair value hierarchy because the fair value is derived using significant unobservable inputs. We utilized the Monte Carlo simulation method to estimate the fair value of the contingent liability as of the acquisition date, and we have updated the fair value using an income approach in subsequent periods. The fair value of the contingent consideration, which is primarily dependent on the revenue of the acquired business in fiscal 2026, is remeasured each reporting period, with adjustments to fair value recorded as acquisition-related expenses in our condensed consolidated statements of operations. During the fiscal quarter ended May 31, 2026, we adjusted the carrying value of the contingent liability to zero.</w:t>
      </w:r>
      <w:r>
        <w:rPr>
          <w:color w:val="000000"/>
        </w:rPr>
        <w:t xml:space="preserve"> </w:t>
      </w:r>
      <w:r>
        <w:rPr>
          <w:rFonts w:ascii="Times New Roman;serif" w:hAnsi="Times New Roman;serif"/>
          <w:b w:val="false"/>
          <w:color w:val="000000"/>
          <w:sz w:val="20"/>
        </w:rPr>
        <w:t>The gain was reported in acquisition-related expenses in the condensed consolidated statements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reflects the activity for our contingent consideration obligation measured at fair value using Level 3 inputs for the nine months ended August 31, 2026:</w:t>
      </w:r>
    </w:p>
    <w:p>
      <w:pPr>
        <w:pStyle w:val="TextBody"/>
        <w:bidi w:val="0"/>
        <w:spacing w:before="0" w:after="0"/>
        <w:jc w:val="left"/>
        <w:rPr/>
      </w:pPr>
      <w:r>
        <w:rPr/>
      </w:r>
    </w:p>
    <w:tbl>
      <w:tblPr>
        <w:tblW w:w="5240" w:type="dxa"/>
        <w:jc w:val="left"/>
        <w:tblInd w:w="0" w:type="dxa"/>
        <w:tblLayout w:type="fixed"/>
        <w:tblCellMar>
          <w:top w:w="28" w:type="dxa"/>
          <w:left w:w="28" w:type="dxa"/>
          <w:bottom w:w="28" w:type="dxa"/>
          <w:right w:w="28" w:type="dxa"/>
        </w:tblCellMar>
      </w:tblPr>
      <w:tblGrid>
        <w:gridCol w:w="1515"/>
        <w:gridCol w:w="1333"/>
        <w:gridCol w:w="1336"/>
        <w:gridCol w:w="211"/>
        <w:gridCol w:w="691"/>
        <w:gridCol w:w="154"/>
      </w:tblGrid>
      <w:tr>
        <w:trPr/>
        <w:tc>
          <w:tcPr>
            <w:tcW w:w="1515"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1,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Changes in fair value of contingent consideration </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August 31, 2026</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 were no transfers between levels of the fair value measurement hierarchy during the nine months ended August 31, 2026 and 2025.</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Assets and Liabilities Not Carried at Fair Value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Fair Value of the Convertible Senior Notes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details the fair value and carrying value of our Convertible Senior Notes that were due and paid in April 2026 and our Convertible Senior Notes due 2030 (together referred to as "the Notes"):</w:t>
      </w:r>
    </w:p>
    <w:p>
      <w:pPr>
        <w:pStyle w:val="TextBody"/>
        <w:bidi w:val="0"/>
        <w:spacing w:before="0" w:after="0"/>
        <w:jc w:val="left"/>
        <w:rPr/>
      </w:pPr>
      <w:r>
        <w:rPr/>
      </w:r>
    </w:p>
    <w:tbl>
      <w:tblPr>
        <w:tblW w:w="9106" w:type="dxa"/>
        <w:jc w:val="left"/>
        <w:tblInd w:w="0" w:type="dxa"/>
        <w:tblLayout w:type="fixed"/>
        <w:tblCellMar>
          <w:top w:w="28" w:type="dxa"/>
          <w:left w:w="28" w:type="dxa"/>
          <w:bottom w:w="28" w:type="dxa"/>
          <w:right w:w="28" w:type="dxa"/>
        </w:tblCellMar>
      </w:tblPr>
      <w:tblGrid>
        <w:gridCol w:w="1119"/>
        <w:gridCol w:w="984"/>
        <w:gridCol w:w="987"/>
        <w:gridCol w:w="248"/>
        <w:gridCol w:w="973"/>
        <w:gridCol w:w="128"/>
        <w:gridCol w:w="109"/>
        <w:gridCol w:w="109"/>
        <w:gridCol w:w="109"/>
        <w:gridCol w:w="211"/>
        <w:gridCol w:w="826"/>
        <w:gridCol w:w="109"/>
        <w:gridCol w:w="109"/>
        <w:gridCol w:w="109"/>
        <w:gridCol w:w="109"/>
        <w:gridCol w:w="248"/>
        <w:gridCol w:w="973"/>
        <w:gridCol w:w="128"/>
        <w:gridCol w:w="109"/>
        <w:gridCol w:w="109"/>
        <w:gridCol w:w="109"/>
        <w:gridCol w:w="211"/>
        <w:gridCol w:w="826"/>
        <w:gridCol w:w="154"/>
      </w:tblGrid>
      <w:tr>
        <w:trPr/>
        <w:tc>
          <w:tcPr>
            <w:tcW w:w="1119"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30, 2025</w:t>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Fair Value</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Convertible senior notes due 2026</w:t>
            </w:r>
            <w:r>
              <w:rPr>
                <w:rFonts w:ascii="Times New Roman;serif" w:hAnsi="Times New Roman;serif"/>
                <w:b w:val="false"/>
                <w:color w:val="000000"/>
                <w:sz w:val="13"/>
              </w:rPr>
              <w:t>(1)</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359,163 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357,300 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Convertible senior notes due 2030</w:t>
            </w:r>
            <w:r>
              <w:rPr>
                <w:rFonts w:ascii="Times New Roman;serif" w:hAnsi="Times New Roman;serif"/>
                <w:b w:val="false"/>
                <w:color w:val="000000"/>
                <w:sz w:val="13"/>
              </w:rPr>
              <w:t>(2)</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442,635 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441,186 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452,295 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442,635 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454,955 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800,349 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809,595 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The carrying value of the convertible senior notes due 2026 (the "2026 Notes"), is reflected net of $0.8 million of unamortized debt issuance costs as of November 30, 2025.</w:t>
      </w:r>
    </w:p>
    <w:p>
      <w:pPr>
        <w:pStyle w:val="TextBody"/>
        <w:bidi w:val="0"/>
        <w:spacing w:lineRule="auto" w:line="288" w:before="0" w:after="0"/>
        <w:jc w:val="left"/>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The carrying value of the convertible senior notes due 2030 (the "2030 Notes"), is reflected net of $7.4 million and $8.8 million</w:t>
      </w:r>
      <w:r>
        <w:rPr>
          <w:color w:val="000000"/>
        </w:rPr>
        <w:t xml:space="preserve"> </w:t>
      </w:r>
      <w:r>
        <w:rPr>
          <w:rFonts w:ascii="Times New Roman;serif" w:hAnsi="Times New Roman;serif"/>
          <w:b w:val="false"/>
          <w:color w:val="000000"/>
          <w:sz w:val="16"/>
        </w:rPr>
        <w:t>of unamortized debt issuance costs as of August 31, 2026 and November 30, 2025, respectively.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fair value of the Notes is based on quoted prices in an over-the-counter market on the last trading day of the reporting period and classified within Level 2 in the fair value hierarchy.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Fair Value of Other Financial Assets and Liabilities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carrying amounts of other financial assets and liabilities including cash and cash equivalents, accounts receivable, unbilled accounts receivable, accounts payable, and accrued liabilities approximate their respective fair values due to their immediate or short-term maturities.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Borrowings under our revolving credit facility are recorded at carrying value, which approximates fair value due to the frequent nature of such borrowings and repayments. The Company considers this a Level 2 input.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3: Intangible Assets and Goodwill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Intangible Assets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Intangible assets are comprised of the following significant classes:</w:t>
      </w:r>
    </w:p>
    <w:p>
      <w:pPr>
        <w:pStyle w:val="TextBody"/>
        <w:bidi w:val="0"/>
        <w:spacing w:lineRule="auto" w:line="288" w:before="0" w:after="0"/>
        <w:jc w:val="left"/>
        <w:rPr>
          <w:color w:val="000000"/>
        </w:rPr>
      </w:pPr>
      <w:r>
        <w:rPr>
          <w:color w:val="000000"/>
        </w:rPr>
        <w:t> </w:t>
      </w:r>
    </w:p>
    <w:tbl>
      <w:tblPr>
        <w:tblW w:w="10452" w:type="dxa"/>
        <w:jc w:val="left"/>
        <w:tblInd w:w="0" w:type="dxa"/>
        <w:tblLayout w:type="fixed"/>
        <w:tblCellMar>
          <w:top w:w="28" w:type="dxa"/>
          <w:left w:w="28" w:type="dxa"/>
          <w:bottom w:w="28" w:type="dxa"/>
          <w:right w:w="28" w:type="dxa"/>
        </w:tblCellMar>
      </w:tblPr>
      <w:tblGrid>
        <w:gridCol w:w="695"/>
        <w:gridCol w:w="535"/>
        <w:gridCol w:w="286"/>
        <w:gridCol w:w="211"/>
        <w:gridCol w:w="976"/>
        <w:gridCol w:w="109"/>
        <w:gridCol w:w="109"/>
        <w:gridCol w:w="109"/>
        <w:gridCol w:w="109"/>
        <w:gridCol w:w="211"/>
        <w:gridCol w:w="866"/>
        <w:gridCol w:w="109"/>
        <w:gridCol w:w="109"/>
        <w:gridCol w:w="109"/>
        <w:gridCol w:w="109"/>
        <w:gridCol w:w="211"/>
        <w:gridCol w:w="826"/>
        <w:gridCol w:w="109"/>
        <w:gridCol w:w="109"/>
        <w:gridCol w:w="109"/>
        <w:gridCol w:w="109"/>
        <w:gridCol w:w="211"/>
        <w:gridCol w:w="976"/>
        <w:gridCol w:w="109"/>
        <w:gridCol w:w="109"/>
        <w:gridCol w:w="109"/>
        <w:gridCol w:w="109"/>
        <w:gridCol w:w="211"/>
        <w:gridCol w:w="866"/>
        <w:gridCol w:w="109"/>
        <w:gridCol w:w="109"/>
        <w:gridCol w:w="109"/>
        <w:gridCol w:w="109"/>
        <w:gridCol w:w="211"/>
        <w:gridCol w:w="826"/>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30, 2025</w:t>
            </w:r>
          </w:p>
        </w:tc>
      </w:tr>
      <w:tr>
        <w:trPr/>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 Book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 Book Value</w:t>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Purchased technology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403,375 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(278,116)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403,375 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(251,491)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Customer-related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(449,970)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(377,368)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400,562 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 and trade names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1,258,416 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(778,943)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479,473 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1,258,416 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(674,388)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584,028 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the three and nine months ended August 31, 2026, amortization expense related to intangible assets was $35.1 million and $104.6 million, respectively. In the three and nine months ended August 31, 2025, amortization expense related to intangible assets was $37.2 million and $110.0 million, respectively.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Future amortization expense for intangible assets as of August 31, 2026, is as follows:</w:t>
      </w:r>
    </w:p>
    <w:p>
      <w:pPr>
        <w:pStyle w:val="TextBody"/>
        <w:bidi w:val="0"/>
        <w:spacing w:lineRule="auto" w:line="288" w:before="0" w:after="0"/>
        <w:jc w:val="left"/>
        <w:rPr>
          <w:color w:val="000000"/>
        </w:rPr>
      </w:pPr>
      <w:r>
        <w:rPr>
          <w:color w:val="000000"/>
        </w:rPr>
        <w:t> </w:t>
      </w:r>
    </w:p>
    <w:tbl>
      <w:tblPr>
        <w:tblW w:w="2870" w:type="dxa"/>
        <w:jc w:val="left"/>
        <w:tblInd w:w="0" w:type="dxa"/>
        <w:tblLayout w:type="fixed"/>
        <w:tblCellMar>
          <w:top w:w="28" w:type="dxa"/>
          <w:left w:w="28" w:type="dxa"/>
          <w:bottom w:w="28" w:type="dxa"/>
          <w:right w:w="28" w:type="dxa"/>
        </w:tblCellMar>
      </w:tblPr>
      <w:tblGrid>
        <w:gridCol w:w="608"/>
        <w:gridCol w:w="535"/>
        <w:gridCol w:w="536"/>
        <w:gridCol w:w="211"/>
        <w:gridCol w:w="826"/>
        <w:gridCol w:w="154"/>
      </w:tblGrid>
      <w:tr>
        <w:trPr/>
        <w:tc>
          <w:tcPr>
            <w:tcW w:w="60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479,473 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Goodwill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Changes in the carrying amount of goodwill in the nine months ended August 31, 2026 are as follows:</w:t>
      </w:r>
    </w:p>
    <w:p>
      <w:pPr>
        <w:pStyle w:val="TextBody"/>
        <w:bidi w:val="0"/>
        <w:spacing w:before="0" w:after="0"/>
        <w:jc w:val="left"/>
        <w:rPr/>
      </w:pPr>
      <w:r>
        <w:rPr/>
      </w:r>
    </w:p>
    <w:tbl>
      <w:tblPr>
        <w:tblW w:w="5105" w:type="dxa"/>
        <w:jc w:val="left"/>
        <w:tblInd w:w="0" w:type="dxa"/>
        <w:tblLayout w:type="fixed"/>
        <w:tblCellMar>
          <w:top w:w="28" w:type="dxa"/>
          <w:left w:w="28" w:type="dxa"/>
          <w:bottom w:w="28" w:type="dxa"/>
          <w:right w:w="28" w:type="dxa"/>
        </w:tblCellMar>
      </w:tblPr>
      <w:tblGrid>
        <w:gridCol w:w="1363"/>
        <w:gridCol w:w="1199"/>
        <w:gridCol w:w="1202"/>
        <w:gridCol w:w="211"/>
        <w:gridCol w:w="976"/>
        <w:gridCol w:w="154"/>
      </w:tblGrid>
      <w:tr>
        <w:trPr/>
        <w:tc>
          <w:tcPr>
            <w:tcW w:w="1363"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1,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1,309,054 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Measurement period adjustments</w:t>
            </w:r>
            <w:r>
              <w:rPr>
                <w:rFonts w:ascii="Times New Roman;serif" w:hAnsi="Times New Roman;serif"/>
                <w:b w:val="false"/>
                <w:color w:val="000000"/>
                <w:sz w:val="13"/>
              </w:rPr>
              <w:t xml:space="preserve">(1) </w:t>
            </w:r>
            <w:r>
              <w:rPr>
                <w:rFonts w:ascii="Times New Roman;serif" w:hAnsi="Times New Roman;serif"/>
                <w:b w:val="false"/>
                <w:color w:val="000000"/>
                <w:sz w:val="20"/>
              </w:rPr>
              <w:t>and 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August 31, 2026</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1,309,737 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 xml:space="preserve">Represents measurement period adjustments related to Nuclia during fiscal year 2026. Refer to Note 4, </w:t>
      </w:r>
      <w:r>
        <w:rPr>
          <w:rFonts w:ascii="Times New Roman;serif" w:hAnsi="Times New Roman;serif"/>
          <w:b w:val="false"/>
          <w:i/>
          <w:color w:val="000000"/>
          <w:sz w:val="16"/>
        </w:rPr>
        <w:t>Business Combinations</w:t>
      </w:r>
      <w:r>
        <w:rPr>
          <w:color w:val="000000"/>
        </w:rPr>
        <w:t xml:space="preserve"> </w:t>
      </w:r>
      <w:r>
        <w:rPr>
          <w:rFonts w:ascii="Times New Roman;serif" w:hAnsi="Times New Roman;serif"/>
          <w:b w:val="false"/>
          <w:color w:val="000000"/>
          <w:sz w:val="16"/>
        </w:rPr>
        <w:t>for further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4: Business Combinations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Nuclia Acquisition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June 30, 2025, we completed the acquisition of Nuclia, an innovator in agentic Retrieval-Augmented Generation AI solutions, for a purchase price with an aggregate fair value of $21.4 million, which was primarily allocated to purchased technology and goodwill. The purchase consideration consisted of $20.3 million of cash paid at closing and contingent consideration with an estimated fair value of $1.1 million.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We are required to pay contingent earn-out consideration of up to $5.0 million to former Nuclia shareholders, based on the achievement of certain revenue targets during fiscal year 2026. The fair value of the earn-out liability was determined to be $1.1 million as of the acquisition date. Refer to Note 2, </w:t>
      </w:r>
      <w:r>
        <w:rPr>
          <w:rFonts w:ascii="Times New Roman;serif" w:hAnsi="Times New Roman;serif"/>
          <w:b w:val="false"/>
          <w:i/>
          <w:color w:val="000000"/>
          <w:sz w:val="20"/>
        </w:rPr>
        <w:t>Fair Value Measurements</w:t>
      </w:r>
      <w:r>
        <w:rPr>
          <w:color w:val="000000"/>
        </w:rPr>
        <w:t xml:space="preserve"> </w:t>
      </w:r>
      <w:r>
        <w:rPr>
          <w:rFonts w:ascii="Times New Roman;serif" w:hAnsi="Times New Roman;serif"/>
          <w:b w:val="false"/>
          <w:color w:val="000000"/>
          <w:sz w:val="20"/>
        </w:rPr>
        <w:t>for information regarding changes in the fair value of the earn-out liability, which are recorded as acquisition-related expenses in our condensed consolidated statements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have not disclosed the amount of revenues and earnings of Nuclia since acquisition, nor pro forma financial information, as those amounts are not significant to our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5: Debt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August 31, 2026 and November 30, 2025, we had the following debt obligations:</w:t>
      </w:r>
    </w:p>
    <w:p>
      <w:pPr>
        <w:pStyle w:val="TextBody"/>
        <w:bidi w:val="0"/>
        <w:spacing w:before="0" w:after="0"/>
        <w:jc w:val="left"/>
        <w:rPr/>
      </w:pPr>
      <w:r>
        <w:rPr/>
      </w:r>
    </w:p>
    <w:tbl>
      <w:tblPr>
        <w:tblW w:w="8756" w:type="dxa"/>
        <w:jc w:val="left"/>
        <w:tblInd w:w="0" w:type="dxa"/>
        <w:tblLayout w:type="fixed"/>
        <w:tblCellMar>
          <w:top w:w="28" w:type="dxa"/>
          <w:left w:w="28" w:type="dxa"/>
          <w:bottom w:w="28" w:type="dxa"/>
          <w:right w:w="28" w:type="dxa"/>
        </w:tblCellMar>
      </w:tblPr>
      <w:tblGrid>
        <w:gridCol w:w="1890"/>
        <w:gridCol w:w="1663"/>
        <w:gridCol w:w="1666"/>
        <w:gridCol w:w="237"/>
        <w:gridCol w:w="1096"/>
        <w:gridCol w:w="122"/>
        <w:gridCol w:w="109"/>
        <w:gridCol w:w="109"/>
        <w:gridCol w:w="109"/>
        <w:gridCol w:w="276"/>
        <w:gridCol w:w="1278"/>
        <w:gridCol w:w="201"/>
      </w:tblGrid>
      <w:tr>
        <w:trPr/>
        <w:tc>
          <w:tcPr>
            <w:tcW w:w="1890"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30, 2025</w:t>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14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1.0% convertible senior notes due 2026</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360,000 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Unamortized discount and issuance costs for the 2026 Notes</w:t>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current portion of long-term debt</w:t>
            </w:r>
          </w:p>
        </w:tc>
        <w:tc>
          <w:tcPr>
            <w:tcW w:w="13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359,163 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4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3.5% convertible senior notes due 2030</w:t>
            </w:r>
          </w:p>
        </w:tc>
        <w:tc>
          <w:tcPr>
            <w:tcW w:w="13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450,000 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450,000 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Revolving credit facility</w:t>
            </w:r>
            <w:r>
              <w:rPr>
                <w:rFonts w:ascii="Times New Roman;serif" w:hAnsi="Times New Roman;serif"/>
                <w:b w:val="false"/>
                <w:color w:val="000000"/>
                <w:sz w:val="13"/>
              </w:rPr>
              <w:t>(1)</w:t>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790,000 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600,000 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face value of long-term debt</w:t>
            </w:r>
          </w:p>
        </w:tc>
        <w:tc>
          <w:tcPr>
            <w:tcW w:w="13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1,240,000 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1,050,000 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 xml:space="preserve">Unamortized discount and issuance costs for the 2030 Notes </w:t>
            </w:r>
          </w:p>
        </w:tc>
        <w:tc>
          <w:tcPr>
            <w:tcW w:w="13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(7,365)</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(8,814)</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long-term debt</w:t>
            </w:r>
          </w:p>
        </w:tc>
        <w:tc>
          <w:tcPr>
            <w:tcW w:w="13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1,232,635 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1,041,186 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debt</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1,232,635 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1,400,349 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 xml:space="preserve">Unamortized debt issuance costs related to the revolving credit facility of $8.7 million and $10.4 million are included in other assets on the condensed consolidated balance sheets as of August 31, 2026 and November 30, 2025, respectively.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April 2026, the Company paid $361.8 million to redeem the outstanding portion of the 2026 Notes, including the outstanding principal amount and accrued interest through the April 2026 maturity date. We funded the redemption through borrowings under our existing revolving credit facility and cash on hand.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April 2021, in connection with the pricing of the 2026 Notes, the Company entered into privately negotiated capped call transactions (the "2021 Capped Call Transactions") to reduce potential dilution to our common stock upon any conversion of the 2026 Notes and/or offset any potential cash payments the Company was required to make in excess of the principal amount of converted 2026 Notes. The 2021 Capped Call Transactions expired unexercised in April 2026.</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nine months ended August 31, 2026, we repaid $170.0 million on the revolving credit facility. The interest rate as of August 31, 2026 was 5.44%.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6: Common Stock Repurchases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September 23, 2025, our Board of Directors increased the share repurchase authorization by $200.0 million to an aggregate authorization of $242.2 million. During the three and nine months ended August 31, 2026, we repurchased and retired 0.5 million shares for $16.9 million and 2.2 million shares for $71.6 million, respectively. During the three and nine months ended August 31, 2025, we repurchased and retired 0.3 million shares for $15.0 million and 1.2 million shares for $65.1 million, respectively. As of August 31, 2026, there was $130.7 million remaining under the current authorization.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7: Stock-Based Compensation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reflects the fair value of stock-based awards measured at the grant date and recognized over the relevant service period. We estimate the fair value of each stock-based award on the measurement date using either the current market price of the stock, the Black-Scholes option valuation model, or the Monte Carlo Simulation valuation model. The Black-Scholes and Monte Carlo Simulation valuation models incorporate assumptions as to stock price volatility, the expected life of options or awards, a risk-free interest rate, and dividend yield. We recognize stock-based compensation expense related to options and restricted stock units on a straight-line basis over the service period of the award, which is generally four or five years for options and three or four years for restricted stock units, and adjust the expense each period for actual forfeitures. We recognize stock-based compensation expense related to performance stock units and our employee stock purchase plan using an accelerated attribution.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2026, 2025, and 2024, we granted performance-based restricted stock units that include two performance metrics under our Long-Term Incentive Plan ("LTIP") where the performance measurement period is three years. For the 2026, 2025, and 2024 plans, the vesting terms were based on the following: (i) 75% is based on achievement of a three-year cumulative operating income, and (ii) 25% is based on our level of attainment of specified TSR targets relative to the percentage appreciation of a specified index of companies for the respective three-year periods. The vesting of LTIP awards is also subject to continued employment of the grantees through the performance period, except in the event of a qualifying termination. In order to estimate the fair value of such awards, we used a Monte Carlo Simulation valuation model for the market condition portion of the award, and used the closing price of our common stock on the date of grant, less the present value of expected dividends when applicable, for the portion related to the performance condition.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The following table provides the classification of stock-based compensation as reflected in our condensed consolidated statements of operations:</w:t>
      </w:r>
      <w:r>
        <w:rPr>
          <w:color w:val="000000"/>
        </w:rPr>
        <w:t> </w:t>
      </w:r>
    </w:p>
    <w:tbl>
      <w:tblPr>
        <w:tblW w:w="10205" w:type="dxa"/>
        <w:jc w:val="left"/>
        <w:tblInd w:w="0" w:type="dxa"/>
        <w:tblLayout w:type="fixed"/>
        <w:tblCellMar>
          <w:top w:w="28" w:type="dxa"/>
          <w:left w:w="28" w:type="dxa"/>
          <w:bottom w:w="28" w:type="dxa"/>
          <w:right w:w="28" w:type="dxa"/>
        </w:tblCellMar>
      </w:tblPr>
      <w:tblGrid>
        <w:gridCol w:w="1355"/>
        <w:gridCol w:w="1175"/>
        <w:gridCol w:w="1184"/>
        <w:gridCol w:w="276"/>
        <w:gridCol w:w="946"/>
        <w:gridCol w:w="142"/>
        <w:gridCol w:w="109"/>
        <w:gridCol w:w="109"/>
        <w:gridCol w:w="109"/>
        <w:gridCol w:w="276"/>
        <w:gridCol w:w="946"/>
        <w:gridCol w:w="142"/>
        <w:gridCol w:w="109"/>
        <w:gridCol w:w="109"/>
        <w:gridCol w:w="109"/>
        <w:gridCol w:w="276"/>
        <w:gridCol w:w="946"/>
        <w:gridCol w:w="142"/>
        <w:gridCol w:w="109"/>
        <w:gridCol w:w="109"/>
        <w:gridCol w:w="109"/>
        <w:gridCol w:w="273"/>
        <w:gridCol w:w="936"/>
        <w:gridCol w:w="209"/>
      </w:tblGrid>
      <w:tr>
        <w:trPr/>
        <w:tc>
          <w:tcPr>
            <w:tcW w:w="1355"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3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w:t>
            </w:r>
          </w:p>
        </w:tc>
      </w:tr>
      <w:tr>
        <w:trPr/>
        <w:tc>
          <w:tcPr>
            <w:tcW w:w="3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2025</w:t>
            </w:r>
          </w:p>
        </w:tc>
      </w:tr>
      <w:tr>
        <w:trPr/>
        <w:tc>
          <w:tcPr>
            <w:tcW w:w="3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maintenance, SaaS, and professional services</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4,537 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4,241 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9,970 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development</w:t>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16,247 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14,103 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22,751 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19,080 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16,079 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15,970 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55,062 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47,394 </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8: Revenue Recognition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Timing of Revenue Recognition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revenues are derived from licensing our products and from related services, which consist of maintenance, SaaS, and professional services. Information relating to revenue from external customers by revenue type is as follows: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334"/>
        <w:gridCol w:w="1161"/>
        <w:gridCol w:w="1170"/>
        <w:gridCol w:w="253"/>
        <w:gridCol w:w="993"/>
        <w:gridCol w:w="130"/>
        <w:gridCol w:w="109"/>
        <w:gridCol w:w="109"/>
        <w:gridCol w:w="109"/>
        <w:gridCol w:w="253"/>
        <w:gridCol w:w="993"/>
        <w:gridCol w:w="130"/>
        <w:gridCol w:w="109"/>
        <w:gridCol w:w="109"/>
        <w:gridCol w:w="109"/>
        <w:gridCol w:w="253"/>
        <w:gridCol w:w="993"/>
        <w:gridCol w:w="130"/>
        <w:gridCol w:w="109"/>
        <w:gridCol w:w="109"/>
        <w:gridCol w:w="109"/>
        <w:gridCol w:w="251"/>
        <w:gridCol w:w="986"/>
        <w:gridCol w:w="194"/>
      </w:tblGrid>
      <w:tr>
        <w:trPr/>
        <w:tc>
          <w:tcPr>
            <w:tcW w:w="1334"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3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w:t>
            </w:r>
          </w:p>
        </w:tc>
      </w:tr>
      <w:tr>
        <w:trPr/>
        <w:tc>
          <w:tcPr>
            <w:tcW w:w="3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3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2025</w:t>
            </w:r>
          </w:p>
        </w:tc>
      </w:tr>
      <w:tr>
        <w:trPr/>
        <w:tc>
          <w:tcPr>
            <w:tcW w:w="3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obligations transferred at a point in time:</w:t>
            </w:r>
          </w:p>
        </w:tc>
        <w:tc>
          <w:tcPr>
            <w:tcW w:w="13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licenses</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63,556 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63,437 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200,116 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172,677 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obligations transferred over time:</w:t>
            </w:r>
          </w:p>
        </w:tc>
        <w:tc>
          <w:tcPr>
            <w:tcW w:w="1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Maintenance</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100,016 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104,849 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301,577 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307,875 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SaaS</w:t>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72,623 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71,512 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216,089 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213,027 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29,487 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31,586 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246,005 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249,795 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747,269 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725,165 </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Geographic Revenue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the following table, revenue attributed to North America includes sales to customers in the U.S. and Canada and sales to certain multinational organizations. Revenue from EMEA, Latin America, and the Asia Pacific region includes sales to customers in each region plus sales from the U.S. to distributors in these regions. Information relating to revenue from external customers from different geographical areas is as follows:</w:t>
      </w:r>
    </w:p>
    <w:p>
      <w:pPr>
        <w:pStyle w:val="TextBody"/>
        <w:bidi w:val="0"/>
        <w:spacing w:lineRule="auto" w:line="288" w:before="0" w:after="0"/>
        <w:jc w:val="left"/>
        <w:rPr>
          <w:color w:val="000000"/>
        </w:rPr>
      </w:pPr>
      <w:r>
        <w:rPr>
          <w:color w:val="000000"/>
        </w:rPr>
        <w:t> </w:t>
      </w:r>
    </w:p>
    <w:tbl>
      <w:tblPr>
        <w:tblW w:w="8149" w:type="dxa"/>
        <w:jc w:val="left"/>
        <w:tblInd w:w="0" w:type="dxa"/>
        <w:tblLayout w:type="fixed"/>
        <w:tblCellMar>
          <w:top w:w="28" w:type="dxa"/>
          <w:left w:w="28" w:type="dxa"/>
          <w:bottom w:w="28" w:type="dxa"/>
          <w:right w:w="28" w:type="dxa"/>
        </w:tblCellMar>
      </w:tblPr>
      <w:tblGrid>
        <w:gridCol w:w="472"/>
        <w:gridCol w:w="415"/>
        <w:gridCol w:w="417"/>
        <w:gridCol w:w="268"/>
        <w:gridCol w:w="1049"/>
        <w:gridCol w:w="138"/>
        <w:gridCol w:w="109"/>
        <w:gridCol w:w="109"/>
        <w:gridCol w:w="109"/>
        <w:gridCol w:w="268"/>
        <w:gridCol w:w="1049"/>
        <w:gridCol w:w="138"/>
        <w:gridCol w:w="109"/>
        <w:gridCol w:w="109"/>
        <w:gridCol w:w="109"/>
        <w:gridCol w:w="268"/>
        <w:gridCol w:w="1049"/>
        <w:gridCol w:w="138"/>
        <w:gridCol w:w="109"/>
        <w:gridCol w:w="109"/>
        <w:gridCol w:w="109"/>
        <w:gridCol w:w="265"/>
        <w:gridCol w:w="1040"/>
        <w:gridCol w:w="194"/>
      </w:tblGrid>
      <w:tr>
        <w:trPr/>
        <w:tc>
          <w:tcPr>
            <w:tcW w:w="47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w:t>
            </w:r>
          </w:p>
        </w:tc>
      </w:tr>
      <w:tr>
        <w:trPr/>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2025</w:t>
            </w:r>
          </w:p>
        </w:tc>
      </w:tr>
      <w:tr>
        <w:trPr/>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159,357 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163,404 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474,575 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465,376 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EMEA</w:t>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68,994 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68,339 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217,982 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208,321 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Latin America</w:t>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17,772 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16,126 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 Pacific</w:t>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36,940 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35,342 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246,005 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249,795 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747,269 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725,165 </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No single customer, partner, or country outside the U.S. accounted for more than 10% of our total revenue for the three and nine months ended August 31, 2026 or 2025.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Contract Balances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Unbilled Receivables and Contract Assets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August 31, 2026, billing of our non-current unbilled receivables is expected to occur as follows:</w:t>
      </w:r>
    </w:p>
    <w:tbl>
      <w:tblPr>
        <w:tblW w:w="2210" w:type="dxa"/>
        <w:jc w:val="left"/>
        <w:tblInd w:w="0" w:type="dxa"/>
        <w:tblLayout w:type="fixed"/>
        <w:tblCellMar>
          <w:top w:w="28" w:type="dxa"/>
          <w:left w:w="28" w:type="dxa"/>
          <w:bottom w:w="28" w:type="dxa"/>
          <w:right w:w="28" w:type="dxa"/>
        </w:tblCellMar>
      </w:tblPr>
      <w:tblGrid>
        <w:gridCol w:w="407"/>
        <w:gridCol w:w="358"/>
        <w:gridCol w:w="359"/>
        <w:gridCol w:w="211"/>
        <w:gridCol w:w="721"/>
        <w:gridCol w:w="154"/>
      </w:tblGrid>
      <w:tr>
        <w:trPr/>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39,413 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Contract assets arise when revenue is recognized in excess of billings and the right to the amount due from customers is conditioned on something other than the passage of time, such as the completion of a related performance obligation. We did not have any net contract assets as of August 31, 2026 or November 30,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Deferred Revenue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Deferred revenue is recorded when revenue is recognized subsequent to customer invoicing. Deferred revenue expected to be recognized as revenue more than one year subsequent to the balance sheet date is included in long-term liabilities on the condensed consolidated balance sheets. Our deferred revenue balance is primarily made up of deferred maintenance and deferred revenue related to our SaaS offerings.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August 31, 2026, the changes in deferred revenue were as follows:</w:t>
      </w:r>
    </w:p>
    <w:p>
      <w:pPr>
        <w:pStyle w:val="TextBody"/>
        <w:bidi w:val="0"/>
        <w:spacing w:before="0" w:after="0"/>
        <w:jc w:val="left"/>
        <w:rPr/>
      </w:pPr>
      <w:r>
        <w:rPr/>
      </w:r>
    </w:p>
    <w:tbl>
      <w:tblPr>
        <w:tblW w:w="5706" w:type="dxa"/>
        <w:jc w:val="left"/>
        <w:tblInd w:w="0" w:type="dxa"/>
        <w:tblLayout w:type="fixed"/>
        <w:tblCellMar>
          <w:top w:w="28" w:type="dxa"/>
          <w:left w:w="28" w:type="dxa"/>
          <w:bottom w:w="28" w:type="dxa"/>
          <w:right w:w="28" w:type="dxa"/>
        </w:tblCellMar>
      </w:tblPr>
      <w:tblGrid>
        <w:gridCol w:w="1635"/>
        <w:gridCol w:w="1438"/>
        <w:gridCol w:w="1442"/>
        <w:gridCol w:w="211"/>
        <w:gridCol w:w="826"/>
        <w:gridCol w:w="154"/>
      </w:tblGrid>
      <w:tr>
        <w:trPr/>
        <w:tc>
          <w:tcPr>
            <w:tcW w:w="1635"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1,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425,079 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Billings and 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728,657 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 that was deferred in prior periods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(342,207)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 from current period arrangements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(405,062)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August 31, 2026</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406,467 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Transaction price allocated to remaining performance obligations represents contracted revenue that has not yet been recognized, which includes deferred revenue and amounts that will be invoiced and recognized as revenue in future periods. As of August 31, 2026, transaction price allocated to remaining performance obligations was $497.8 million. We expect to recognize approximately 75% of the revenue within the next year and the remainder thereafter.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Deferred Contract Costs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Certain of our sales incentive programs meet the requirements to be capitalized. Depending upon the sales incentive program and the related revenue arrangement, such capitalized costs are amortized over the longer of (i) the product life, which is generally three to five years; or (ii) the term of the related revenue contract. We determined that a three to five year product life represents the period of benefit that we receive from these incremental costs based on both qualitative and quantitative factors, which include customer contracts, industry norms, and product upgrades. Total deferred contract costs were $6.2 million and $6.5 million as of August 31, 2026 and November 30, 2025, respectively, and are included in other current assets and other assets on our condensed consolidated balance sheets. Amortization of deferred contract costs is included in sales and marketing expense on our condensed consolidated statements of operations and was insignificant in all periods presented.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9: Restructuring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summary of activity for all of our restructuring actions:</w:t>
      </w:r>
    </w:p>
    <w:tbl>
      <w:tblPr>
        <w:tblW w:w="10205" w:type="dxa"/>
        <w:jc w:val="center"/>
        <w:tblInd w:w="0" w:type="dxa"/>
        <w:tblLayout w:type="fixed"/>
        <w:tblCellMar>
          <w:top w:w="28" w:type="dxa"/>
          <w:left w:w="28" w:type="dxa"/>
          <w:bottom w:w="28" w:type="dxa"/>
          <w:right w:w="28" w:type="dxa"/>
        </w:tblCellMar>
      </w:tblPr>
      <w:tblGrid>
        <w:gridCol w:w="1007"/>
        <w:gridCol w:w="837"/>
        <w:gridCol w:w="840"/>
        <w:gridCol w:w="583"/>
        <w:gridCol w:w="1708"/>
        <w:gridCol w:w="304"/>
        <w:gridCol w:w="109"/>
        <w:gridCol w:w="109"/>
        <w:gridCol w:w="109"/>
        <w:gridCol w:w="740"/>
        <w:gridCol w:w="2163"/>
        <w:gridCol w:w="383"/>
        <w:gridCol w:w="109"/>
        <w:gridCol w:w="109"/>
        <w:gridCol w:w="109"/>
        <w:gridCol w:w="211"/>
        <w:gridCol w:w="616"/>
        <w:gridCol w:w="159"/>
      </w:tblGrid>
      <w:tr>
        <w:trPr/>
        <w:tc>
          <w:tcPr>
            <w:tcW w:w="100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16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Excess Facilities and Other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Employee Severance and Related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1, 2025</w:t>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2,585 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3,254 </w:t>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incurred</w:t>
            </w:r>
          </w:p>
        </w:tc>
        <w:tc>
          <w:tcPr>
            <w:tcW w:w="2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disbursements</w:t>
            </w:r>
          </w:p>
        </w:tc>
        <w:tc>
          <w:tcPr>
            <w:tcW w:w="2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(2,295)</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(3,707)</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(6,002)</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w:t>
            </w:r>
          </w:p>
        </w:tc>
        <w:tc>
          <w:tcPr>
            <w:tcW w:w="2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Translation and other adjustments</w:t>
            </w:r>
          </w:p>
        </w:tc>
        <w:tc>
          <w:tcPr>
            <w:tcW w:w="2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August 31, 2026</w:t>
            </w:r>
          </w:p>
        </w:tc>
        <w:tc>
          <w:tcPr>
            <w:tcW w:w="5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1,339 </w:t>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3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Costs incurred during the three and nine months ended August 31, 2026 are primarily related to our restructuring action that commenced in fiscal year 2025 to optimize efficiency, and facility closures in other existing restructuring actions. Cash disbursements for expenses incurred to date under these restructurings are expected to be made through the fourth quarter of fiscal year 2026. The restructuring reserve is included in other accrued liabilities on the condensed consolidated balance sheet as of August 31, 2026. We do not expect to incur additional material expenses in connection with this restructuring.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 10: Earnings Per Share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compute basic earnings per share using the weighted average number of common shares outstanding. We compute diluted earnings per share using the weighted average number of common shares outstanding plus the effect of outstanding dilutive stock options, restricted stock units, and deferred stock units, using the treasury stock method and the effect of our convertible debt using the if-converted method. The following table sets forth the calculation of basic and diluted earnings per share on an interim basis: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375"/>
        <w:gridCol w:w="1165"/>
        <w:gridCol w:w="1173"/>
        <w:gridCol w:w="277"/>
        <w:gridCol w:w="946"/>
        <w:gridCol w:w="142"/>
        <w:gridCol w:w="109"/>
        <w:gridCol w:w="109"/>
        <w:gridCol w:w="109"/>
        <w:gridCol w:w="277"/>
        <w:gridCol w:w="946"/>
        <w:gridCol w:w="142"/>
        <w:gridCol w:w="109"/>
        <w:gridCol w:w="109"/>
        <w:gridCol w:w="109"/>
        <w:gridCol w:w="277"/>
        <w:gridCol w:w="946"/>
        <w:gridCol w:w="142"/>
        <w:gridCol w:w="109"/>
        <w:gridCol w:w="109"/>
        <w:gridCol w:w="109"/>
        <w:gridCol w:w="273"/>
        <w:gridCol w:w="937"/>
        <w:gridCol w:w="206"/>
      </w:tblGrid>
      <w:tr>
        <w:trPr/>
        <w:tc>
          <w:tcPr>
            <w:tcW w:w="1375"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3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w:t>
            </w:r>
          </w:p>
        </w:tc>
      </w:tr>
      <w:tr>
        <w:trPr/>
        <w:tc>
          <w:tcPr>
            <w:tcW w:w="37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i/>
                <w:color w:val="000000"/>
                <w:sz w:val="16"/>
              </w:rPr>
              <w:t>(in thousands, except per share data)</w:t>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2025</w:t>
            </w:r>
          </w:p>
        </w:tc>
      </w:tr>
      <w:tr>
        <w:trPr/>
        <w:tc>
          <w:tcPr>
            <w:tcW w:w="3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22,776 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19,413 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66,662 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47,388 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w:t>
            </w:r>
          </w:p>
        </w:tc>
        <w:tc>
          <w:tcPr>
            <w:tcW w:w="12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41,061 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42,988 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41,706 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43,099 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dilution from common stock equivalents</w:t>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dilution from if-converted convertible notes</w:t>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shares outstanding</w:t>
            </w:r>
          </w:p>
        </w:tc>
        <w:tc>
          <w:tcPr>
            <w:tcW w:w="12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41,478 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43,717 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42,172 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44,253 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w:t>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excluded stock awards representing approximately 3,063,000 and 3,613,000 shares of common stock from the calculation of diluted earnings per share in the three and nine months ended August 31, 2026, respectively, as these awards were anti-dilutive. We excluded stock awards representing approximately 844,000 and 672,000 shares of common stock from the calculation of diluted earnings per share in the three and nine months ended August 31, 2025, respectively, as these awards were anti-dilutive.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dilutive impact of the Notes on our calculation of diluted earnings per share is measured using the if-converted method. However, because the principal amount of the 2026 Notes was settled in cash and the principal amount of the 2030 Notes will be settled in cash, the dilutive impact of applying the if-converted method is limited to the in-the-money portion, if any. During the three and nine months ended August 31, 2026, we excluded the Notes in our diluted earnings per share calculation because the conversion feature in the Notes was out of the money. During the three months ended August 31, 2025, we did not include the Notes in our diluted earnings per share calculation because the conversion feature in the Notes was out of the money. During the nine months ended August 31, 2025, we included the 2026 Notes in our diluted earnings per share calculation and we excluded the 2030 Notes in our diluted earnings per share calculation because the conversion feature in the 2030 Notes was out of the money.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11: Segment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Operating segments are components of an enterprise that engages in business activities for which discrete financial information is available and regularly reviewed by the chief operating decision maker ("CODM") in deciding how to allocate resources and assess performance. Our CODM is our Chief Executive Officer.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We operate as one operating and reportable segment that is managed on a consolidated basis and derives substantially all of its revenue from the sale and support of one group of similar products and services, comprised of software products for the development, deployment, and management of responsible, AI-powered applications and digital experiences. The accounting policies of the Company's operating segment are the same as those described in Note 1, </w:t>
      </w:r>
      <w:r>
        <w:rPr>
          <w:rFonts w:ascii="Times New Roman;serif" w:hAnsi="Times New Roman;serif"/>
          <w:b w:val="false"/>
          <w:i/>
          <w:color w:val="000000"/>
          <w:sz w:val="20"/>
        </w:rPr>
        <w:t xml:space="preserve">Nature of Business and Summary of Significant Accounting Policies </w:t>
      </w:r>
      <w:r>
        <w:rPr>
          <w:rFonts w:ascii="Times New Roman;serif" w:hAnsi="Times New Roman;serif"/>
          <w:b w:val="false"/>
          <w:color w:val="000000"/>
          <w:sz w:val="20"/>
        </w:rPr>
        <w:t>to our Consolidated Financial Statements in Item 8 of our 2025 Annual Report. Our CODM does not receive profitability information at a lower level than consolidated results, and evaluates net income on a consolidated basis to set financial performance targets, assess performance, and make resource allocation decisions, primarily through comparison of actual results to forecasted results, year-over-year analysis, and review of historical performance trends. The measure of segment assets is reported on the Company's consolidated balance sheets as total consolidated assets.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significant expenses and other segment items are provided in the table below:</w:t>
      </w:r>
    </w:p>
    <w:p>
      <w:pPr>
        <w:pStyle w:val="TextBody"/>
        <w:bidi w:val="0"/>
        <w:spacing w:before="0" w:after="0"/>
        <w:jc w:val="left"/>
        <w:rPr/>
      </w:pPr>
      <w:r>
        <w:rPr/>
      </w:r>
    </w:p>
    <w:tbl>
      <w:tblPr>
        <w:tblW w:w="9430" w:type="dxa"/>
        <w:jc w:val="left"/>
        <w:tblInd w:w="0" w:type="dxa"/>
        <w:tblLayout w:type="fixed"/>
        <w:tblCellMar>
          <w:top w:w="28" w:type="dxa"/>
          <w:left w:w="28" w:type="dxa"/>
          <w:bottom w:w="28" w:type="dxa"/>
          <w:right w:w="28" w:type="dxa"/>
        </w:tblCellMar>
      </w:tblPr>
      <w:tblGrid>
        <w:gridCol w:w="936"/>
        <w:gridCol w:w="824"/>
        <w:gridCol w:w="825"/>
        <w:gridCol w:w="268"/>
        <w:gridCol w:w="1049"/>
        <w:gridCol w:w="138"/>
        <w:gridCol w:w="109"/>
        <w:gridCol w:w="109"/>
        <w:gridCol w:w="109"/>
        <w:gridCol w:w="268"/>
        <w:gridCol w:w="1049"/>
        <w:gridCol w:w="138"/>
        <w:gridCol w:w="109"/>
        <w:gridCol w:w="109"/>
        <w:gridCol w:w="109"/>
        <w:gridCol w:w="268"/>
        <w:gridCol w:w="1049"/>
        <w:gridCol w:w="138"/>
        <w:gridCol w:w="109"/>
        <w:gridCol w:w="109"/>
        <w:gridCol w:w="109"/>
        <w:gridCol w:w="265"/>
        <w:gridCol w:w="1040"/>
        <w:gridCol w:w="194"/>
      </w:tblGrid>
      <w:tr>
        <w:trPr/>
        <w:tc>
          <w:tcPr>
            <w:tcW w:w="936"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w:t>
            </w:r>
          </w:p>
        </w:tc>
      </w:tr>
      <w:tr>
        <w:trPr/>
        <w:tc>
          <w:tcPr>
            <w:tcW w:w="2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4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2025</w:t>
            </w:r>
          </w:p>
        </w:tc>
      </w:tr>
      <w:tr>
        <w:trPr/>
        <w:tc>
          <w:tcPr>
            <w:tcW w:w="2585" w:type="dxa"/>
            <w:gridSpan w:val="3"/>
            <w:tcBorders/>
            <w:shd w:fill="CCEEFF" w:val="clear"/>
            <w:tcMar>
              <w:top w:w="0" w:type="dxa"/>
              <w:left w:w="0" w:type="dxa"/>
              <w:bottom w:w="0" w:type="dxa"/>
              <w:right w:w="0" w:type="dxa"/>
            </w:tcMar>
            <w:vAlign w:val="center"/>
          </w:tcPr>
          <w:p>
            <w:pPr>
              <w:pStyle w:val="TableContents"/>
              <w:bidi w:val="0"/>
              <w:spacing w:lineRule="auto" w:line="204" w:before="0" w:after="0"/>
              <w:ind w:left="0" w:right="0" w:firstLine="65"/>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246,005 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249,795 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747,269 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725,165 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5" w:type="dxa"/>
            <w:gridSpan w:val="3"/>
            <w:tcBorders/>
            <w:shd w:fill="FFFFFF" w:val="clear"/>
            <w:tcMar>
              <w:top w:w="0" w:type="dxa"/>
              <w:left w:w="0" w:type="dxa"/>
              <w:bottom w:w="0" w:type="dxa"/>
              <w:right w:w="0" w:type="dxa"/>
            </w:tcMar>
            <w:vAlign w:val="center"/>
          </w:tcPr>
          <w:p>
            <w:pPr>
              <w:pStyle w:val="TableContents"/>
              <w:bidi w:val="0"/>
              <w:spacing w:lineRule="auto" w:line="244" w:before="0" w:after="0"/>
              <w:ind w:left="0" w:right="0" w:firstLine="65"/>
              <w:jc w:val="left"/>
              <w:rPr/>
            </w:pPr>
            <w:r>
              <w:rPr>
                <w:rFonts w:ascii="Times New Roman;serif" w:hAnsi="Times New Roman;serif"/>
                <w:b w:val="false"/>
                <w:color w:val="000000"/>
                <w:sz w:val="20"/>
              </w:rPr>
              <w:t xml:space="preserve">Costs of revenue </w:t>
            </w:r>
            <w:r>
              <w:rPr>
                <w:rFonts w:ascii="Times New Roman;serif" w:hAnsi="Times New Roman;serif"/>
                <w:b w:val="false"/>
                <w:color w:val="000000"/>
                <w:sz w:val="13"/>
              </w:rPr>
              <w:t>(1)</w:t>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32,119 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35,266 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100,040 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105,071 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5" w:type="dxa"/>
            <w:gridSpan w:val="3"/>
            <w:tcBorders/>
            <w:shd w:fill="CCEEFF" w:val="clear"/>
            <w:tcMar>
              <w:top w:w="0" w:type="dxa"/>
              <w:left w:w="0" w:type="dxa"/>
              <w:bottom w:w="0" w:type="dxa"/>
              <w:right w:w="0" w:type="dxa"/>
            </w:tcMar>
            <w:vAlign w:val="center"/>
          </w:tcPr>
          <w:p>
            <w:pPr>
              <w:pStyle w:val="TableContents"/>
              <w:bidi w:val="0"/>
              <w:spacing w:lineRule="auto" w:line="244" w:before="0" w:after="0"/>
              <w:ind w:left="0" w:right="0" w:firstLine="65"/>
              <w:jc w:val="left"/>
              <w:rPr/>
            </w:pPr>
            <w:r>
              <w:rPr>
                <w:rFonts w:ascii="Times New Roman;serif" w:hAnsi="Times New Roman;serif"/>
                <w:b w:val="false"/>
                <w:color w:val="000000"/>
                <w:sz w:val="20"/>
              </w:rPr>
              <w:t xml:space="preserve">Sales and marketing </w:t>
            </w:r>
            <w:r>
              <w:rPr>
                <w:rFonts w:ascii="Times New Roman;serif" w:hAnsi="Times New Roman;serif"/>
                <w:b w:val="false"/>
                <w:color w:val="000000"/>
                <w:sz w:val="13"/>
              </w:rPr>
              <w:t>(2)</w:t>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47,077 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48,575 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145,273 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142,853 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5" w:type="dxa"/>
            <w:gridSpan w:val="3"/>
            <w:tcBorders/>
            <w:shd w:fill="FFFFFF" w:val="clear"/>
            <w:tcMar>
              <w:top w:w="0" w:type="dxa"/>
              <w:left w:w="0" w:type="dxa"/>
              <w:bottom w:w="0" w:type="dxa"/>
              <w:right w:w="0" w:type="dxa"/>
            </w:tcMar>
            <w:vAlign w:val="center"/>
          </w:tcPr>
          <w:p>
            <w:pPr>
              <w:pStyle w:val="TableContents"/>
              <w:bidi w:val="0"/>
              <w:spacing w:lineRule="auto" w:line="244" w:before="0" w:after="0"/>
              <w:ind w:left="0" w:right="0" w:firstLine="65"/>
              <w:jc w:val="left"/>
              <w:rPr/>
            </w:pPr>
            <w:r>
              <w:rPr>
                <w:rFonts w:ascii="Times New Roman;serif" w:hAnsi="Times New Roman;serif"/>
                <w:b w:val="false"/>
                <w:color w:val="000000"/>
                <w:sz w:val="20"/>
              </w:rPr>
              <w:t xml:space="preserve">Product development </w:t>
            </w:r>
            <w:r>
              <w:rPr>
                <w:rFonts w:ascii="Times New Roman;serif" w:hAnsi="Times New Roman;serif"/>
                <w:b w:val="false"/>
                <w:color w:val="000000"/>
                <w:sz w:val="13"/>
              </w:rPr>
              <w:t>(2)</w:t>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41,249 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44,723 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129,121 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128,274 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5" w:type="dxa"/>
            <w:gridSpan w:val="3"/>
            <w:tcBorders/>
            <w:shd w:fill="CCEEFF" w:val="clear"/>
            <w:tcMar>
              <w:top w:w="0" w:type="dxa"/>
              <w:left w:w="0" w:type="dxa"/>
              <w:bottom w:w="0" w:type="dxa"/>
              <w:right w:w="0" w:type="dxa"/>
            </w:tcMar>
            <w:vAlign w:val="center"/>
          </w:tcPr>
          <w:p>
            <w:pPr>
              <w:pStyle w:val="TableContents"/>
              <w:bidi w:val="0"/>
              <w:spacing w:lineRule="auto" w:line="244" w:before="0" w:after="0"/>
              <w:ind w:left="0" w:right="0" w:firstLine="65"/>
              <w:jc w:val="left"/>
              <w:rPr/>
            </w:pPr>
            <w:r>
              <w:rPr>
                <w:rFonts w:ascii="Times New Roman;serif" w:hAnsi="Times New Roman;serif"/>
                <w:b w:val="false"/>
                <w:color w:val="000000"/>
                <w:sz w:val="20"/>
              </w:rPr>
              <w:t xml:space="preserve">General and administrative </w:t>
            </w:r>
            <w:r>
              <w:rPr>
                <w:rFonts w:ascii="Times New Roman;serif" w:hAnsi="Times New Roman;serif"/>
                <w:b w:val="false"/>
                <w:color w:val="000000"/>
                <w:sz w:val="13"/>
              </w:rPr>
              <w:t>(2)</w:t>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20,303 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21,808 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62,770 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60,488 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5" w:type="dxa"/>
            <w:gridSpan w:val="3"/>
            <w:tcBorders/>
            <w:shd w:fill="FFFFFF" w:val="clear"/>
            <w:tcMar>
              <w:top w:w="0" w:type="dxa"/>
              <w:left w:w="0" w:type="dxa"/>
              <w:bottom w:w="0" w:type="dxa"/>
              <w:right w:w="0" w:type="dxa"/>
            </w:tcMar>
            <w:vAlign w:val="center"/>
          </w:tcPr>
          <w:p>
            <w:pPr>
              <w:pStyle w:val="TableContents"/>
              <w:bidi w:val="0"/>
              <w:spacing w:lineRule="auto" w:line="244" w:before="0" w:after="0"/>
              <w:ind w:left="0" w:right="0" w:firstLine="65"/>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16,079 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55,062 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47,394 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5" w:type="dxa"/>
            <w:gridSpan w:val="3"/>
            <w:tcBorders/>
            <w:shd w:fill="CCEEFF" w:val="clear"/>
            <w:tcMar>
              <w:top w:w="0" w:type="dxa"/>
              <w:left w:w="0" w:type="dxa"/>
              <w:bottom w:w="0" w:type="dxa"/>
              <w:right w:w="0" w:type="dxa"/>
            </w:tcMar>
            <w:vAlign w:val="center"/>
          </w:tcPr>
          <w:p>
            <w:pPr>
              <w:pStyle w:val="TableContents"/>
              <w:bidi w:val="0"/>
              <w:spacing w:lineRule="auto" w:line="244" w:before="0" w:after="0"/>
              <w:ind w:left="0" w:right="0" w:firstLine="65"/>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35,099 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37,199 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104,572 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110,029 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5" w:type="dxa"/>
            <w:gridSpan w:val="3"/>
            <w:tcBorders/>
            <w:shd w:fill="FFFFFF" w:val="clear"/>
            <w:tcMar>
              <w:top w:w="0" w:type="dxa"/>
              <w:left w:w="0" w:type="dxa"/>
              <w:bottom w:w="0" w:type="dxa"/>
              <w:right w:w="0" w:type="dxa"/>
            </w:tcMar>
            <w:vAlign w:val="center"/>
          </w:tcPr>
          <w:p>
            <w:pPr>
              <w:pStyle w:val="TableContents"/>
              <w:bidi w:val="0"/>
              <w:spacing w:lineRule="auto" w:line="244" w:before="0" w:after="0"/>
              <w:ind w:left="0" w:right="0" w:firstLine="65"/>
              <w:jc w:val="left"/>
              <w:rPr/>
            </w:pPr>
            <w:r>
              <w:rPr>
                <w:rFonts w:ascii="Times New Roman;serif" w:hAnsi="Times New Roman;serif"/>
                <w:b w:val="false"/>
                <w:color w:val="000000"/>
                <w:sz w:val="20"/>
              </w:rPr>
              <w:t xml:space="preserve">Other segment items, net </w:t>
            </w:r>
            <w:r>
              <w:rPr>
                <w:rFonts w:ascii="Times New Roman;serif" w:hAnsi="Times New Roman;serif"/>
                <w:b w:val="false"/>
                <w:color w:val="000000"/>
                <w:sz w:val="13"/>
              </w:rPr>
              <w:t>(3)</w:t>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31,303 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26,841 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83,769 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83,668 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5" w:type="dxa"/>
            <w:gridSpan w:val="3"/>
            <w:tcBorders/>
            <w:shd w:fill="CCEEFF" w:val="clear"/>
            <w:tcMar>
              <w:top w:w="0" w:type="dxa"/>
              <w:left w:w="0" w:type="dxa"/>
              <w:bottom w:w="0" w:type="dxa"/>
              <w:right w:w="0" w:type="dxa"/>
            </w:tcMar>
            <w:vAlign w:val="center"/>
          </w:tcPr>
          <w:p>
            <w:pPr>
              <w:pStyle w:val="TableContents"/>
              <w:bidi w:val="0"/>
              <w:spacing w:lineRule="auto" w:line="244" w:before="0" w:after="0"/>
              <w:ind w:left="0" w:right="0" w:firstLine="65"/>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22,776 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19,413 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66,662 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47,388 </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0"/>
        </w:rPr>
        <w:t>(1)</w:t>
      </w:r>
      <w:r>
        <w:rPr>
          <w:rFonts w:ascii="Times New Roman;serif" w:hAnsi="Times New Roman;serif"/>
          <w:b w:val="false"/>
          <w:color w:val="000000"/>
          <w:sz w:val="16"/>
        </w:rPr>
        <w:t>Excludes amortization of intangibles and stock-based compensation.</w:t>
      </w:r>
    </w:p>
    <w:p>
      <w:pPr>
        <w:pStyle w:val="TextBody"/>
        <w:bidi w:val="0"/>
        <w:spacing w:lineRule="auto" w:line="288" w:before="0" w:after="0"/>
        <w:jc w:val="left"/>
        <w:rPr/>
      </w:pPr>
      <w:r>
        <w:rPr>
          <w:rFonts w:ascii="Times New Roman;serif" w:hAnsi="Times New Roman;serif"/>
          <w:b w:val="false"/>
          <w:color w:val="000000"/>
          <w:sz w:val="10"/>
        </w:rPr>
        <w:t>(2)</w:t>
      </w:r>
      <w:r>
        <w:rPr>
          <w:rFonts w:ascii="Times New Roman;serif" w:hAnsi="Times New Roman;serif"/>
          <w:b w:val="false"/>
          <w:color w:val="000000"/>
          <w:sz w:val="16"/>
        </w:rPr>
        <w:t>Excludes stock-based compensation.</w:t>
      </w:r>
    </w:p>
    <w:p>
      <w:pPr>
        <w:pStyle w:val="TextBody"/>
        <w:bidi w:val="0"/>
        <w:spacing w:lineRule="auto" w:line="288" w:before="0" w:after="0"/>
        <w:jc w:val="left"/>
        <w:rPr/>
      </w:pPr>
      <w:r>
        <w:rPr>
          <w:rFonts w:ascii="Times New Roman;serif" w:hAnsi="Times New Roman;serif"/>
          <w:b w:val="false"/>
          <w:color w:val="000000"/>
          <w:sz w:val="10"/>
        </w:rPr>
        <w:t>(3)</w:t>
      </w:r>
      <w:r>
        <w:rPr>
          <w:rFonts w:ascii="Times New Roman;serif" w:hAnsi="Times New Roman;serif"/>
          <w:b w:val="false"/>
          <w:color w:val="000000"/>
          <w:sz w:val="16"/>
        </w:rPr>
        <w:t>Includes restructuring expenses, acquisition-related expenses, cyber vulnerability response expenses, net, interest expense, interest income and other, net, foreign currency loss, net, and provision for income taxes.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12: Cyber Related Matters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MOVEit Vulnerability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previously disclosed, on the evening of May 28, 2023, we learned that our MOVEit Transfer (the on-premise version) and MOVEit Cloud (a cloud-hosted version of MOVEit Transfer) products were attacked by a threat actor who compromised and exfiltrated personal data from various customer-controlled MOVEit Transfer environments (the "MOVEit Vulnerability"). As a result of the MOVEit Vulnerability, we are party to certain class action lawsuits filed by individuals who claim to have been impacted by the exfiltration of data from the environments of our MOVEit Transfer customers, which have been centralized in multi-district litigation in the District of Massachusetts (the "MDL"). The MDL has also consolidated an insurance subrogation complaint (where an insurer is seeking recovery for expenses incurred on behalf of its insured in connection with the MOVEit Vulnerability) and, as of the date of this filing, one customer cross-claim. Motions to dismiss were filed and partially granted in July 2025, then further partially granted in January 2026 in response to our motions for reconsideration. In all, the court has dismissed, in whole or in part, 23 of the 33 claims asserted by the bellwether plaintiffs in the MDL. The court has ordered the conclusion of fact discovery by September 29, 2026. The filing of class certification occurred on August 28, 2026 and will continue into the fourth quarter of 2026. The MDL is not expected to conclude within the next twelve months.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previously disclosed, we have also cooperated with inquiries and investigations from various governmental authorities, a number of which have been formally closed and, as of the date of this filing, have not resulted in any prosecution or enforcement actions.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Expenses Incurred and Future Costs</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and nine months ended August 31, 2026, we incurred net costs of approximately $3.5 million and $6.1 million, respectively, related to the MOVEit Vulnerability. The costs recognized are net of insurance recoveries of $1.1 million and $4.5 million for the three and nine months ended August 31, 2026, respectively. During the three and nine months ended August 31, 2025, we incurred net costs of approximately $0.7 million and $2.1 million, respectively, related to the MOVEit Vulnerability. The costs recognized are net of insurance recoveries of $0.4 million and $1.7 million for the three and nine months ended August 31, 2025, respectively. The timing of recognizing insurance recoveries may differ from the timing of recognizing the associated expenses.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expect to continue to incur legal and professional services expenses associated with the MOVEit Vulnerability in future periods. We will recognize these expenses as services are received. While a loss from these matters is reasonably possible, we cannot reasonably estimate a range of possible losses at this time, particularly while the foregoing matters remain ongoing. Furthermore, with respect to the MDL, alleged damages have not been specified, there is uncertainty as to the likelihood of a class or classes being certified or the ultimate size of any class if certified, and there are significant factual and legal issues to be resolved. With respect to the governmental inquiries and investigations, we are currently unable to reasonably estimate any possible adverse judgments, settlements, fines, or penalties. Therefore, we have not recorded a loss contingency liability for the MOVEit Vulnerability as of August 31,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Insurance Coverage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period when the MOVEit Vulnerability occurred, we maintained $15.0 million of cybersecurity insurance coverage, which has reduced our exposure to expenses and liabilities arising from these events. As of August 31, 2026, we have utilized all cybersecurity insurance coverage available for the MOVEit Vulnerability.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Note 13: Subsequent Events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On July 22, 2026, we entered into an agreement to acquire substantially all of the assets and assume certain liabilities of Domo, Inc. ("Domo"), including its AI and data products platform, for approximately $400 million. The closing of the acquisition occurred on September 22, 2026, and was funded with borrowings under our existing revolving credit facility.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is in the process of finalizing the accounting for this transaction and will provide the preliminary purchase price allocation, subject to measurement period adjustments, in the Company's Form 10-K for the fiscal year ending November 30,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This Quarterly Report on Form 10-Q may contain "forward-looking statements" within the meaning of Section 27A of the Securities Act of 1933, as amended; Section 21E of the Securities Exchange Act of 1934, as amended; and the Private Securities Litigation Reform Act of 1995. Whenever we use words such as "believe," "may," "could," "would," "might," "should," "expect," "intend," "plan," "estimate," "target," "anticipate" and negatives and derivatives of these or similar expressions, or when we make statements concerning future financial results, product offerings, or other events that have not yet occurred, we are making forward-looking statements. Actual future results may differ materially from those contained in or implied by our forward-looking statements due to various factors which are more fully described in Part I, Item 1A. Risk Factors in our 2025 Annual Report as well as any risk factors described in Part II, Item 1A of this Quarterly Report on Form 10-Q. Although we have sought to identify the most significant risks to our business, we cannot predict whether, or to what extent, any of such risks may be realized. We also cannot assure you that we have identified all possible issues that we might face. We undertake no obligation to update any forward-looking statements that we make.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Progress Software Corporation ("Progress," the "Company," "we," "us," or "our") provides software products that enable our customers to develop, deploy and manage responsible AI-powered applications and digital experiences.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Critical Accounting Policies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Management's discussion and analysis of financial condition and results of operations are based upon our consolidated financial statements, which have been prepared in accordance with GAAP. We make estimates and assumptions in the preparation of our consolidated financial statements that affect the reported amounts of assets and liabilities, revenue and expenses and related disclosures of contingent assets and liabilities. We base our estimates on historical experience and various other assumptions that are believed to be reasonable under the circumstances. However, actual results may differ from these estimates. The most significant estimates relate to revenue recognition, loss contingencies and the MOVEit Vulnerability, and business combinations. For further information regarding the application of these and other accounting policies, see Note 1, </w:t>
      </w:r>
      <w:r>
        <w:rPr>
          <w:rFonts w:ascii="Times New Roman;serif" w:hAnsi="Times New Roman;serif"/>
          <w:b w:val="false"/>
          <w:i/>
          <w:color w:val="000000"/>
          <w:sz w:val="20"/>
        </w:rPr>
        <w:t xml:space="preserve">Nature of Business and Summary of Significant Accounting Policies </w:t>
      </w:r>
      <w:r>
        <w:rPr>
          <w:rFonts w:ascii="Times New Roman;serif" w:hAnsi="Times New Roman;serif"/>
          <w:b w:val="false"/>
          <w:color w:val="000000"/>
          <w:sz w:val="20"/>
        </w:rPr>
        <w:t xml:space="preserve">to our Consolidated Financial Statements in Item 8 of our 2025 Annual Report. There have been no significant changes to our critical accounting policies and estimates since our 2025 Annual Report.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Use of Constant Currency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Revenue from our international operations has historically represented a substantial portion of our total revenue. As a result, our revenue results have been impacted, and we expect will continue to be impacted, by fluctuations in foreign currency exchange rates. For example, if the local currencies of our foreign subsidiaries strengthen, our consolidated results stated in U.S. Dollars are positively impacted.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exchange rates are an important factor in understanding period to period comparisons, we believe the presentation of revenue growth rates on a constant currency basis enhances the understanding of our revenue results and evaluation of our performance in comparison to prior periods. The constant currency information presented is calculated by translating current period results using prior period weighted average foreign currency exchange rates. These results should be considered in addition to, not as a substitute for, results reported in accordance with accounting principles generally accepted in the United States of America.</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Revenue</w:t>
      </w:r>
    </w:p>
    <w:p>
      <w:pPr>
        <w:pStyle w:val="TextBody"/>
        <w:bidi w:val="0"/>
        <w:spacing w:before="0" w:after="0"/>
        <w:jc w:val="left"/>
        <w:rPr/>
      </w:pPr>
      <w:r>
        <w:rPr/>
      </w:r>
    </w:p>
    <w:tbl>
      <w:tblPr>
        <w:tblW w:w="7893" w:type="dxa"/>
        <w:jc w:val="left"/>
        <w:tblInd w:w="0" w:type="dxa"/>
        <w:tblLayout w:type="fixed"/>
        <w:tblCellMar>
          <w:top w:w="28" w:type="dxa"/>
          <w:left w:w="28" w:type="dxa"/>
          <w:bottom w:w="28" w:type="dxa"/>
          <w:right w:w="28" w:type="dxa"/>
        </w:tblCellMar>
      </w:tblPr>
      <w:tblGrid>
        <w:gridCol w:w="407"/>
        <w:gridCol w:w="358"/>
        <w:gridCol w:w="359"/>
        <w:gridCol w:w="268"/>
        <w:gridCol w:w="1049"/>
        <w:gridCol w:w="138"/>
        <w:gridCol w:w="109"/>
        <w:gridCol w:w="109"/>
        <w:gridCol w:w="109"/>
        <w:gridCol w:w="268"/>
        <w:gridCol w:w="1049"/>
        <w:gridCol w:w="138"/>
        <w:gridCol w:w="109"/>
        <w:gridCol w:w="109"/>
        <w:gridCol w:w="109"/>
        <w:gridCol w:w="247"/>
        <w:gridCol w:w="247"/>
        <w:gridCol w:w="617"/>
        <w:gridCol w:w="138"/>
        <w:gridCol w:w="138"/>
        <w:gridCol w:w="138"/>
        <w:gridCol w:w="341"/>
        <w:gridCol w:w="341"/>
        <w:gridCol w:w="998"/>
      </w:tblGrid>
      <w:tr>
        <w:trPr/>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Percentage Change</w:t>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 Reported</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Constant Currency</w:t>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246,005 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249,795 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tbl>
      <w:tblPr>
        <w:tblW w:w="7893" w:type="dxa"/>
        <w:jc w:val="left"/>
        <w:tblInd w:w="0" w:type="dxa"/>
        <w:tblLayout w:type="fixed"/>
        <w:tblCellMar>
          <w:top w:w="28" w:type="dxa"/>
          <w:left w:w="28" w:type="dxa"/>
          <w:bottom w:w="28" w:type="dxa"/>
          <w:right w:w="28" w:type="dxa"/>
        </w:tblCellMar>
      </w:tblPr>
      <w:tblGrid>
        <w:gridCol w:w="407"/>
        <w:gridCol w:w="358"/>
        <w:gridCol w:w="359"/>
        <w:gridCol w:w="268"/>
        <w:gridCol w:w="1049"/>
        <w:gridCol w:w="138"/>
        <w:gridCol w:w="109"/>
        <w:gridCol w:w="109"/>
        <w:gridCol w:w="109"/>
        <w:gridCol w:w="268"/>
        <w:gridCol w:w="1049"/>
        <w:gridCol w:w="138"/>
        <w:gridCol w:w="109"/>
        <w:gridCol w:w="109"/>
        <w:gridCol w:w="109"/>
        <w:gridCol w:w="247"/>
        <w:gridCol w:w="247"/>
        <w:gridCol w:w="617"/>
        <w:gridCol w:w="138"/>
        <w:gridCol w:w="138"/>
        <w:gridCol w:w="138"/>
        <w:gridCol w:w="341"/>
        <w:gridCol w:w="341"/>
        <w:gridCol w:w="998"/>
      </w:tblGrid>
      <w:tr>
        <w:trPr/>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Percentage Change</w:t>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 Reported</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Constant Currency</w:t>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747,269 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725,165 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 decreased in the third quarter of fiscal year 2026 as compared to the same period last year primarily due to the timing of renewals on multiyear subscription contracts. Total revenue increased in the first nine months of fiscal year 2026 due to increases in license sales as well as a positive impact from foreign currency exchange, while maintenance, SaaS, and professional services were essentially unchanged from prior periods.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Software Licenses Revenue</w:t>
      </w:r>
    </w:p>
    <w:p>
      <w:pPr>
        <w:pStyle w:val="TextBody"/>
        <w:bidi w:val="0"/>
        <w:spacing w:before="0" w:after="0"/>
        <w:jc w:val="left"/>
        <w:rPr/>
      </w:pPr>
      <w:r>
        <w:rPr/>
      </w:r>
    </w:p>
    <w:tbl>
      <w:tblPr>
        <w:tblW w:w="9524" w:type="dxa"/>
        <w:jc w:val="left"/>
        <w:tblInd w:w="0" w:type="dxa"/>
        <w:tblLayout w:type="fixed"/>
        <w:tblCellMar>
          <w:top w:w="28" w:type="dxa"/>
          <w:left w:w="28" w:type="dxa"/>
          <w:bottom w:w="28" w:type="dxa"/>
          <w:right w:w="28" w:type="dxa"/>
        </w:tblCellMar>
      </w:tblPr>
      <w:tblGrid>
        <w:gridCol w:w="999"/>
        <w:gridCol w:w="878"/>
        <w:gridCol w:w="882"/>
        <w:gridCol w:w="255"/>
        <w:gridCol w:w="872"/>
        <w:gridCol w:w="327"/>
        <w:gridCol w:w="109"/>
        <w:gridCol w:w="109"/>
        <w:gridCol w:w="109"/>
        <w:gridCol w:w="255"/>
        <w:gridCol w:w="872"/>
        <w:gridCol w:w="327"/>
        <w:gridCol w:w="109"/>
        <w:gridCol w:w="109"/>
        <w:gridCol w:w="109"/>
        <w:gridCol w:w="246"/>
        <w:gridCol w:w="246"/>
        <w:gridCol w:w="617"/>
        <w:gridCol w:w="138"/>
        <w:gridCol w:w="138"/>
        <w:gridCol w:w="138"/>
        <w:gridCol w:w="341"/>
        <w:gridCol w:w="341"/>
        <w:gridCol w:w="998"/>
      </w:tblGrid>
      <w:tr>
        <w:trPr/>
        <w:tc>
          <w:tcPr>
            <w:tcW w:w="99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Percentage Change</w:t>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 Reported</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Constant Currency</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licenses</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63,556 </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63,437 </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As a percentage of total revenue</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26 </w:t>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25 </w:t>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9524" w:type="dxa"/>
        <w:jc w:val="left"/>
        <w:tblInd w:w="0" w:type="dxa"/>
        <w:tblLayout w:type="fixed"/>
        <w:tblCellMar>
          <w:top w:w="28" w:type="dxa"/>
          <w:left w:w="28" w:type="dxa"/>
          <w:bottom w:w="28" w:type="dxa"/>
          <w:right w:w="28" w:type="dxa"/>
        </w:tblCellMar>
      </w:tblPr>
      <w:tblGrid>
        <w:gridCol w:w="999"/>
        <w:gridCol w:w="878"/>
        <w:gridCol w:w="882"/>
        <w:gridCol w:w="234"/>
        <w:gridCol w:w="919"/>
        <w:gridCol w:w="301"/>
        <w:gridCol w:w="109"/>
        <w:gridCol w:w="109"/>
        <w:gridCol w:w="109"/>
        <w:gridCol w:w="234"/>
        <w:gridCol w:w="919"/>
        <w:gridCol w:w="301"/>
        <w:gridCol w:w="109"/>
        <w:gridCol w:w="109"/>
        <w:gridCol w:w="109"/>
        <w:gridCol w:w="246"/>
        <w:gridCol w:w="246"/>
        <w:gridCol w:w="617"/>
        <w:gridCol w:w="138"/>
        <w:gridCol w:w="138"/>
        <w:gridCol w:w="138"/>
        <w:gridCol w:w="341"/>
        <w:gridCol w:w="341"/>
        <w:gridCol w:w="998"/>
      </w:tblGrid>
      <w:tr>
        <w:trPr/>
        <w:tc>
          <w:tcPr>
            <w:tcW w:w="99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Percentage Change</w:t>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 Reported</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Constant Currency</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licenses</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200,116 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172,677 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As a percentage of total revenue</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27 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24 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Software licenses revenue remained flat in the third quarter of fiscal year 2026 compared to the same period in the prior year. Software licenses revenue increased in the first nine months of fiscal year 2026 primarily due to increases in our DataDirect and OpenEdge product offerings.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Maintenance, SaaS, and Professional Services Revenue</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324"/>
        <w:gridCol w:w="1161"/>
        <w:gridCol w:w="1170"/>
        <w:gridCol w:w="229"/>
        <w:gridCol w:w="901"/>
        <w:gridCol w:w="295"/>
        <w:gridCol w:w="109"/>
        <w:gridCol w:w="109"/>
        <w:gridCol w:w="109"/>
        <w:gridCol w:w="229"/>
        <w:gridCol w:w="901"/>
        <w:gridCol w:w="295"/>
        <w:gridCol w:w="109"/>
        <w:gridCol w:w="109"/>
        <w:gridCol w:w="109"/>
        <w:gridCol w:w="247"/>
        <w:gridCol w:w="247"/>
        <w:gridCol w:w="617"/>
        <w:gridCol w:w="132"/>
        <w:gridCol w:w="132"/>
        <w:gridCol w:w="132"/>
        <w:gridCol w:w="311"/>
        <w:gridCol w:w="311"/>
        <w:gridCol w:w="917"/>
      </w:tblGrid>
      <w:tr>
        <w:trPr/>
        <w:tc>
          <w:tcPr>
            <w:tcW w:w="1324"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3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Percentage Change</w:t>
            </w:r>
          </w:p>
        </w:tc>
      </w:tr>
      <w:tr>
        <w:trPr/>
        <w:tc>
          <w:tcPr>
            <w:tcW w:w="3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 Reported</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Constant Currency</w:t>
            </w:r>
          </w:p>
        </w:tc>
      </w:tr>
      <w:tr>
        <w:trPr/>
        <w:tc>
          <w:tcPr>
            <w:tcW w:w="3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Maintenance</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100,016 </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104,849 </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As a percentage of total revenue</w:t>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41 </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42 </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SaaS</w:t>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72,623 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71,512 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6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As a percentage of total revenue</w:t>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29 </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29 </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9,810 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9,997 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6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As a percentage of total revenue</w:t>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4 </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4 </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maintenance, SaaS, and professional services</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182,449 </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186,358 </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As a percentage of total revenue</w:t>
            </w:r>
          </w:p>
        </w:tc>
        <w:tc>
          <w:tcPr>
            <w:tcW w:w="113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74 </w:t>
            </w:r>
          </w:p>
        </w:tc>
        <w:tc>
          <w:tcPr>
            <w:tcW w:w="29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75 </w:t>
            </w:r>
          </w:p>
        </w:tc>
        <w:tc>
          <w:tcPr>
            <w:tcW w:w="29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324"/>
        <w:gridCol w:w="1161"/>
        <w:gridCol w:w="1170"/>
        <w:gridCol w:w="229"/>
        <w:gridCol w:w="901"/>
        <w:gridCol w:w="295"/>
        <w:gridCol w:w="109"/>
        <w:gridCol w:w="109"/>
        <w:gridCol w:w="109"/>
        <w:gridCol w:w="229"/>
        <w:gridCol w:w="901"/>
        <w:gridCol w:w="295"/>
        <w:gridCol w:w="109"/>
        <w:gridCol w:w="109"/>
        <w:gridCol w:w="109"/>
        <w:gridCol w:w="247"/>
        <w:gridCol w:w="247"/>
        <w:gridCol w:w="617"/>
        <w:gridCol w:w="132"/>
        <w:gridCol w:w="132"/>
        <w:gridCol w:w="132"/>
        <w:gridCol w:w="311"/>
        <w:gridCol w:w="311"/>
        <w:gridCol w:w="917"/>
      </w:tblGrid>
      <w:tr>
        <w:trPr/>
        <w:tc>
          <w:tcPr>
            <w:tcW w:w="1324"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3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Percentage Change</w:t>
            </w:r>
          </w:p>
        </w:tc>
      </w:tr>
      <w:tr>
        <w:trPr/>
        <w:tc>
          <w:tcPr>
            <w:tcW w:w="3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 Reported</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Constant Currency</w:t>
            </w:r>
          </w:p>
        </w:tc>
      </w:tr>
      <w:tr>
        <w:trPr/>
        <w:tc>
          <w:tcPr>
            <w:tcW w:w="3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Maintenance</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301,577 </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307,875 </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As a percentage of total revenue</w:t>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40 </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42 </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SaaS</w:t>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216,089 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213,027 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6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As a percentage of total revenue</w:t>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29 </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29 </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29,487 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31,586 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6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As a percentage of total revenue</w:t>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4 </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4 </w:t>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maintenance, SaaS, and professional services</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547,153 </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552,488 </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As a percentage of total revenue</w:t>
            </w:r>
          </w:p>
        </w:tc>
        <w:tc>
          <w:tcPr>
            <w:tcW w:w="113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73 </w:t>
            </w:r>
          </w:p>
        </w:tc>
        <w:tc>
          <w:tcPr>
            <w:tcW w:w="29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76 </w:t>
            </w:r>
          </w:p>
        </w:tc>
        <w:tc>
          <w:tcPr>
            <w:tcW w:w="29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Maintenance and professional services revenue decreased slightly across multiple product offerings as compared to the same periods last year. SaaS revenue slightly increased compared to prior periods presented.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Cost of Software Licenses</w:t>
      </w:r>
    </w:p>
    <w:tbl>
      <w:tblPr>
        <w:tblW w:w="10205" w:type="dxa"/>
        <w:jc w:val="left"/>
        <w:tblInd w:w="0" w:type="dxa"/>
        <w:tblLayout w:type="fixed"/>
        <w:tblCellMar>
          <w:top w:w="28" w:type="dxa"/>
          <w:left w:w="28" w:type="dxa"/>
          <w:bottom w:w="28" w:type="dxa"/>
          <w:right w:w="28" w:type="dxa"/>
        </w:tblCellMar>
      </w:tblPr>
      <w:tblGrid>
        <w:gridCol w:w="682"/>
        <w:gridCol w:w="452"/>
        <w:gridCol w:w="454"/>
        <w:gridCol w:w="224"/>
        <w:gridCol w:w="656"/>
        <w:gridCol w:w="288"/>
        <w:gridCol w:w="109"/>
        <w:gridCol w:w="109"/>
        <w:gridCol w:w="109"/>
        <w:gridCol w:w="224"/>
        <w:gridCol w:w="656"/>
        <w:gridCol w:w="288"/>
        <w:gridCol w:w="109"/>
        <w:gridCol w:w="109"/>
        <w:gridCol w:w="109"/>
        <w:gridCol w:w="250"/>
        <w:gridCol w:w="250"/>
        <w:gridCol w:w="627"/>
        <w:gridCol w:w="109"/>
        <w:gridCol w:w="109"/>
        <w:gridCol w:w="109"/>
        <w:gridCol w:w="224"/>
        <w:gridCol w:w="656"/>
        <w:gridCol w:w="288"/>
        <w:gridCol w:w="109"/>
        <w:gridCol w:w="109"/>
        <w:gridCol w:w="109"/>
        <w:gridCol w:w="224"/>
        <w:gridCol w:w="656"/>
        <w:gridCol w:w="288"/>
        <w:gridCol w:w="109"/>
        <w:gridCol w:w="109"/>
        <w:gridCol w:w="109"/>
        <w:gridCol w:w="238"/>
        <w:gridCol w:w="238"/>
        <w:gridCol w:w="707"/>
      </w:tblGrid>
      <w:tr>
        <w:trPr/>
        <w:tc>
          <w:tcPr>
            <w:tcW w:w="68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r>
      <w:tr>
        <w:trPr/>
        <w:tc>
          <w:tcPr>
            <w:tcW w:w="1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w:t>
            </w:r>
          </w:p>
        </w:tc>
      </w:tr>
      <w:tr>
        <w:trPr/>
        <w:tc>
          <w:tcPr>
            <w:tcW w:w="15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Percentage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Percentage Change</w:t>
            </w:r>
          </w:p>
        </w:tc>
      </w:tr>
      <w:tr>
        <w:trPr/>
        <w:tc>
          <w:tcPr>
            <w:tcW w:w="15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software licenses</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2,715 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2,833 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6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9,403 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8,745 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As a percentage of software licenses revenue</w:t>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4 </w:t>
            </w:r>
          </w:p>
        </w:tc>
        <w:tc>
          <w:tcPr>
            <w:tcW w:w="28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4 </w:t>
            </w:r>
          </w:p>
        </w:tc>
        <w:tc>
          <w:tcPr>
            <w:tcW w:w="28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5 </w:t>
            </w:r>
          </w:p>
        </w:tc>
        <w:tc>
          <w:tcPr>
            <w:tcW w:w="28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5 </w:t>
            </w:r>
          </w:p>
        </w:tc>
        <w:tc>
          <w:tcPr>
            <w:tcW w:w="28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Cost of software licenses consists primarily of royalties, electronic software distribution, duplication, and packaging. Cost of software licenses as a percentage of software license revenue varies from period to period depending upon the relative product mix. The increase in the first nine months of fiscal year 2026 compared to the same period last year was due to increased royalty costs.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Cost of Maintenance, SaaS, and Professional Services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49"/>
        <w:gridCol w:w="471"/>
        <w:gridCol w:w="475"/>
        <w:gridCol w:w="213"/>
        <w:gridCol w:w="729"/>
        <w:gridCol w:w="274"/>
        <w:gridCol w:w="109"/>
        <w:gridCol w:w="109"/>
        <w:gridCol w:w="109"/>
        <w:gridCol w:w="213"/>
        <w:gridCol w:w="729"/>
        <w:gridCol w:w="274"/>
        <w:gridCol w:w="109"/>
        <w:gridCol w:w="109"/>
        <w:gridCol w:w="109"/>
        <w:gridCol w:w="228"/>
        <w:gridCol w:w="228"/>
        <w:gridCol w:w="572"/>
        <w:gridCol w:w="109"/>
        <w:gridCol w:w="109"/>
        <w:gridCol w:w="109"/>
        <w:gridCol w:w="213"/>
        <w:gridCol w:w="729"/>
        <w:gridCol w:w="274"/>
        <w:gridCol w:w="109"/>
        <w:gridCol w:w="109"/>
        <w:gridCol w:w="109"/>
        <w:gridCol w:w="212"/>
        <w:gridCol w:w="831"/>
        <w:gridCol w:w="272"/>
        <w:gridCol w:w="109"/>
        <w:gridCol w:w="109"/>
        <w:gridCol w:w="109"/>
        <w:gridCol w:w="218"/>
        <w:gridCol w:w="218"/>
        <w:gridCol w:w="648"/>
      </w:tblGrid>
      <w:tr>
        <w:trPr/>
        <w:tc>
          <w:tcPr>
            <w:tcW w:w="54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r>
      <w:tr>
        <w:trPr/>
        <w:tc>
          <w:tcPr>
            <w:tcW w:w="1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w:t>
            </w:r>
          </w:p>
        </w:tc>
      </w:tr>
      <w:tr>
        <w:trPr/>
        <w:tc>
          <w:tcPr>
            <w:tcW w:w="1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Percentage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Percentage Change</w:t>
            </w:r>
          </w:p>
        </w:tc>
      </w:tr>
      <w:tr>
        <w:trPr/>
        <w:tc>
          <w:tcPr>
            <w:tcW w:w="14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maintenance, SaaS, and professional services</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30,815 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33,919 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95,174 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100,567 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As a percentage of maintenance, SaaS, and professional services revenue</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17 </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18 </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Cost of maintenance, SaaS, and professional services consist primarily of hosting costs and personnel-related costs attributable to customer support, cloud operations, consulting, and education. The decreases in all periods shown are primarily due to decreased contractors and personnel-related costs in fiscal year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Amortization of Acquired Intangibles – Costs of Revenue</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534"/>
        <w:gridCol w:w="470"/>
        <w:gridCol w:w="474"/>
        <w:gridCol w:w="220"/>
        <w:gridCol w:w="645"/>
        <w:gridCol w:w="283"/>
        <w:gridCol w:w="109"/>
        <w:gridCol w:w="109"/>
        <w:gridCol w:w="109"/>
        <w:gridCol w:w="217"/>
        <w:gridCol w:w="742"/>
        <w:gridCol w:w="279"/>
        <w:gridCol w:w="109"/>
        <w:gridCol w:w="109"/>
        <w:gridCol w:w="109"/>
        <w:gridCol w:w="241"/>
        <w:gridCol w:w="241"/>
        <w:gridCol w:w="605"/>
        <w:gridCol w:w="109"/>
        <w:gridCol w:w="109"/>
        <w:gridCol w:w="109"/>
        <w:gridCol w:w="217"/>
        <w:gridCol w:w="742"/>
        <w:gridCol w:w="279"/>
        <w:gridCol w:w="109"/>
        <w:gridCol w:w="109"/>
        <w:gridCol w:w="109"/>
        <w:gridCol w:w="217"/>
        <w:gridCol w:w="742"/>
        <w:gridCol w:w="279"/>
        <w:gridCol w:w="109"/>
        <w:gridCol w:w="109"/>
        <w:gridCol w:w="109"/>
        <w:gridCol w:w="230"/>
        <w:gridCol w:w="230"/>
        <w:gridCol w:w="683"/>
      </w:tblGrid>
      <w:tr>
        <w:trPr/>
        <w:tc>
          <w:tcPr>
            <w:tcW w:w="53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r>
      <w:tr>
        <w:trPr/>
        <w:tc>
          <w:tcPr>
            <w:tcW w:w="14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w:t>
            </w:r>
          </w:p>
        </w:tc>
      </w:tr>
      <w:tr>
        <w:trPr/>
        <w:tc>
          <w:tcPr>
            <w:tcW w:w="14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Percentage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Percentage Change</w:t>
            </w:r>
          </w:p>
        </w:tc>
      </w:tr>
      <w:tr>
        <w:trPr/>
        <w:tc>
          <w:tcPr>
            <w:tcW w:w="1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intangibles</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8,937 </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10,784 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26,626 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31,743 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As a percentage of total revenue</w:t>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4 </w:t>
            </w:r>
          </w:p>
        </w:tc>
        <w:tc>
          <w:tcPr>
            <w:tcW w:w="28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4 </w:t>
            </w:r>
          </w:p>
        </w:tc>
        <w:tc>
          <w:tcPr>
            <w:tcW w:w="27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4 </w:t>
            </w:r>
          </w:p>
        </w:tc>
        <w:tc>
          <w:tcPr>
            <w:tcW w:w="27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4 </w:t>
            </w:r>
          </w:p>
        </w:tc>
        <w:tc>
          <w:tcPr>
            <w:tcW w:w="27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intangibles included in costs of revenue primarily represents the amortization of the value assigned to technology-related intangible assets obtained in business combinations. The year-over-year decreases in all periods shown are due to the run-off of existing intangible assets over the period.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Sales and Marketing</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60"/>
        <w:gridCol w:w="350"/>
        <w:gridCol w:w="341"/>
        <w:gridCol w:w="216"/>
        <w:gridCol w:w="739"/>
        <w:gridCol w:w="278"/>
        <w:gridCol w:w="109"/>
        <w:gridCol w:w="109"/>
        <w:gridCol w:w="109"/>
        <w:gridCol w:w="216"/>
        <w:gridCol w:w="739"/>
        <w:gridCol w:w="278"/>
        <w:gridCol w:w="109"/>
        <w:gridCol w:w="109"/>
        <w:gridCol w:w="109"/>
        <w:gridCol w:w="238"/>
        <w:gridCol w:w="238"/>
        <w:gridCol w:w="598"/>
        <w:gridCol w:w="109"/>
        <w:gridCol w:w="109"/>
        <w:gridCol w:w="109"/>
        <w:gridCol w:w="213"/>
        <w:gridCol w:w="837"/>
        <w:gridCol w:w="274"/>
        <w:gridCol w:w="109"/>
        <w:gridCol w:w="109"/>
        <w:gridCol w:w="109"/>
        <w:gridCol w:w="213"/>
        <w:gridCol w:w="837"/>
        <w:gridCol w:w="274"/>
        <w:gridCol w:w="109"/>
        <w:gridCol w:w="109"/>
        <w:gridCol w:w="109"/>
        <w:gridCol w:w="228"/>
        <w:gridCol w:w="228"/>
        <w:gridCol w:w="675"/>
      </w:tblGrid>
      <w:tr>
        <w:trPr/>
        <w:tc>
          <w:tcPr>
            <w:tcW w:w="56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r>
      <w:tr>
        <w:trPr/>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w:t>
            </w:r>
          </w:p>
        </w:tc>
      </w:tr>
      <w:tr>
        <w:trPr/>
        <w:tc>
          <w:tcPr>
            <w:tcW w:w="12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Percentage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Percentage Change</w:t>
            </w:r>
          </w:p>
        </w:tc>
      </w:tr>
      <w:tr>
        <w:trPr/>
        <w:tc>
          <w:tcPr>
            <w:tcW w:w="12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50,462 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51,850 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5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156,800 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152,823 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As a percentage of total revenue</w:t>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21 </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21 </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21 </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21 </w:t>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Sales and marketing expenses decreased in the third quarter of fiscal year 2026 primarily due to decreased variable compensation expenses during the period. Sales and marketing expenses increased in the first nine months of fiscal year 2026 primarily due to increased personnel-related costs and higher marketing and sales events costs.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Product Development</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80"/>
        <w:gridCol w:w="422"/>
        <w:gridCol w:w="425"/>
        <w:gridCol w:w="214"/>
        <w:gridCol w:w="734"/>
        <w:gridCol w:w="276"/>
        <w:gridCol w:w="109"/>
        <w:gridCol w:w="109"/>
        <w:gridCol w:w="109"/>
        <w:gridCol w:w="214"/>
        <w:gridCol w:w="734"/>
        <w:gridCol w:w="276"/>
        <w:gridCol w:w="109"/>
        <w:gridCol w:w="109"/>
        <w:gridCol w:w="109"/>
        <w:gridCol w:w="233"/>
        <w:gridCol w:w="233"/>
        <w:gridCol w:w="584"/>
        <w:gridCol w:w="109"/>
        <w:gridCol w:w="109"/>
        <w:gridCol w:w="109"/>
        <w:gridCol w:w="213"/>
        <w:gridCol w:w="834"/>
        <w:gridCol w:w="273"/>
        <w:gridCol w:w="109"/>
        <w:gridCol w:w="109"/>
        <w:gridCol w:w="109"/>
        <w:gridCol w:w="213"/>
        <w:gridCol w:w="834"/>
        <w:gridCol w:w="273"/>
        <w:gridCol w:w="109"/>
        <w:gridCol w:w="109"/>
        <w:gridCol w:w="109"/>
        <w:gridCol w:w="223"/>
        <w:gridCol w:w="223"/>
        <w:gridCol w:w="659"/>
      </w:tblGrid>
      <w:tr>
        <w:trPr/>
        <w:tc>
          <w:tcPr>
            <w:tcW w:w="48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r>
      <w:tr>
        <w:trPr/>
        <w:tc>
          <w:tcPr>
            <w:tcW w:w="1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w:t>
            </w:r>
          </w:p>
        </w:tc>
      </w:tr>
      <w:tr>
        <w:trPr/>
        <w:tc>
          <w:tcPr>
            <w:tcW w:w="1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Percentage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Percentage Change</w:t>
            </w:r>
          </w:p>
        </w:tc>
      </w:tr>
      <w:tr>
        <w:trPr/>
        <w:tc>
          <w:tcPr>
            <w:tcW w:w="1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development</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46,054 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49,432 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145,368 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142,377 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As a percentage of total revenue</w:t>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19 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20 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19 </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20 </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Product development expenses decreased in the third quarter of fiscal year 2026 primarily due to decreased headcount related costs. In the first nine months of fiscal year 2026 product development expenses increased primarily due to increased personnel-related costs.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28"/>
        <w:gridCol w:w="464"/>
        <w:gridCol w:w="467"/>
        <w:gridCol w:w="216"/>
        <w:gridCol w:w="738"/>
        <w:gridCol w:w="277"/>
        <w:gridCol w:w="109"/>
        <w:gridCol w:w="109"/>
        <w:gridCol w:w="109"/>
        <w:gridCol w:w="216"/>
        <w:gridCol w:w="738"/>
        <w:gridCol w:w="277"/>
        <w:gridCol w:w="109"/>
        <w:gridCol w:w="109"/>
        <w:gridCol w:w="109"/>
        <w:gridCol w:w="237"/>
        <w:gridCol w:w="237"/>
        <w:gridCol w:w="594"/>
        <w:gridCol w:w="109"/>
        <w:gridCol w:w="109"/>
        <w:gridCol w:w="109"/>
        <w:gridCol w:w="216"/>
        <w:gridCol w:w="738"/>
        <w:gridCol w:w="277"/>
        <w:gridCol w:w="109"/>
        <w:gridCol w:w="109"/>
        <w:gridCol w:w="109"/>
        <w:gridCol w:w="216"/>
        <w:gridCol w:w="738"/>
        <w:gridCol w:w="277"/>
        <w:gridCol w:w="109"/>
        <w:gridCol w:w="109"/>
        <w:gridCol w:w="109"/>
        <w:gridCol w:w="226"/>
        <w:gridCol w:w="226"/>
        <w:gridCol w:w="667"/>
      </w:tblGrid>
      <w:tr>
        <w:trPr/>
        <w:tc>
          <w:tcPr>
            <w:tcW w:w="528"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r>
      <w:tr>
        <w:trPr/>
        <w:tc>
          <w:tcPr>
            <w:tcW w:w="1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w:t>
            </w:r>
          </w:p>
        </w:tc>
      </w:tr>
      <w:tr>
        <w:trPr/>
        <w:tc>
          <w:tcPr>
            <w:tcW w:w="1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Percentage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Percentage Change</w:t>
            </w:r>
          </w:p>
        </w:tc>
      </w:tr>
      <w:tr>
        <w:trPr/>
        <w:tc>
          <w:tcPr>
            <w:tcW w:w="1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26,781 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28,308 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5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85,521 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79,568 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As a percentage of total revenue</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11 </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11 </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11 </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11 </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include the costs of our finance, human resources, legal, information systems, and administrative departments. The decrease in the third quarter of fiscal year 2026 was due to lower personnel-related costs. The increase in the first nine months of fiscal year 2026 was due to higher stock-based compensation expense and additional reserves related to our receivables, partially offset by lower contractors and outside services costs.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Amortization of Acquired Intangibles – Operating Expenses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20"/>
        <w:gridCol w:w="457"/>
        <w:gridCol w:w="461"/>
        <w:gridCol w:w="216"/>
        <w:gridCol w:w="739"/>
        <w:gridCol w:w="277"/>
        <w:gridCol w:w="109"/>
        <w:gridCol w:w="109"/>
        <w:gridCol w:w="109"/>
        <w:gridCol w:w="216"/>
        <w:gridCol w:w="739"/>
        <w:gridCol w:w="277"/>
        <w:gridCol w:w="109"/>
        <w:gridCol w:w="109"/>
        <w:gridCol w:w="109"/>
        <w:gridCol w:w="238"/>
        <w:gridCol w:w="238"/>
        <w:gridCol w:w="597"/>
        <w:gridCol w:w="109"/>
        <w:gridCol w:w="109"/>
        <w:gridCol w:w="109"/>
        <w:gridCol w:w="216"/>
        <w:gridCol w:w="739"/>
        <w:gridCol w:w="277"/>
        <w:gridCol w:w="109"/>
        <w:gridCol w:w="109"/>
        <w:gridCol w:w="109"/>
        <w:gridCol w:w="216"/>
        <w:gridCol w:w="739"/>
        <w:gridCol w:w="277"/>
        <w:gridCol w:w="109"/>
        <w:gridCol w:w="109"/>
        <w:gridCol w:w="109"/>
        <w:gridCol w:w="228"/>
        <w:gridCol w:w="228"/>
        <w:gridCol w:w="675"/>
      </w:tblGrid>
      <w:tr>
        <w:trPr/>
        <w:tc>
          <w:tcPr>
            <w:tcW w:w="520"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r>
      <w:tr>
        <w:trPr/>
        <w:tc>
          <w:tcPr>
            <w:tcW w:w="1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w:t>
            </w:r>
          </w:p>
        </w:tc>
      </w:tr>
      <w:tr>
        <w:trPr/>
        <w:tc>
          <w:tcPr>
            <w:tcW w:w="14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Percentage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Percentage Change</w:t>
            </w:r>
          </w:p>
        </w:tc>
      </w:tr>
      <w:tr>
        <w:trPr/>
        <w:tc>
          <w:tcPr>
            <w:tcW w:w="14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intangibles</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26,162 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26,415 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77,946 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78,286 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As a percentage of total revenue</w:t>
            </w:r>
          </w:p>
        </w:tc>
        <w:tc>
          <w:tcPr>
            <w:tcW w:w="9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11 </w:t>
            </w:r>
          </w:p>
        </w:tc>
        <w:tc>
          <w:tcPr>
            <w:tcW w:w="27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11 </w:t>
            </w:r>
          </w:p>
        </w:tc>
        <w:tc>
          <w:tcPr>
            <w:tcW w:w="27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10 </w:t>
            </w:r>
          </w:p>
        </w:tc>
        <w:tc>
          <w:tcPr>
            <w:tcW w:w="27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11 </w:t>
            </w:r>
          </w:p>
        </w:tc>
        <w:tc>
          <w:tcPr>
            <w:tcW w:w="27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intangibles included in operating expenses primarily represents the amortization of value assigned to intangible assets obtained in business combinations other than assets identified as purchased technology. Amortization of acquired intangibles decreased in all periods shown due to the run-off of existing intangible assets over the period.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Cyber Vulnerability Response Expenses, Net</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02"/>
        <w:gridCol w:w="529"/>
        <w:gridCol w:w="533"/>
        <w:gridCol w:w="224"/>
        <w:gridCol w:w="655"/>
        <w:gridCol w:w="288"/>
        <w:gridCol w:w="109"/>
        <w:gridCol w:w="109"/>
        <w:gridCol w:w="109"/>
        <w:gridCol w:w="233"/>
        <w:gridCol w:w="515"/>
        <w:gridCol w:w="299"/>
        <w:gridCol w:w="109"/>
        <w:gridCol w:w="109"/>
        <w:gridCol w:w="109"/>
        <w:gridCol w:w="270"/>
        <w:gridCol w:w="249"/>
        <w:gridCol w:w="625"/>
        <w:gridCol w:w="109"/>
        <w:gridCol w:w="109"/>
        <w:gridCol w:w="109"/>
        <w:gridCol w:w="224"/>
        <w:gridCol w:w="655"/>
        <w:gridCol w:w="288"/>
        <w:gridCol w:w="109"/>
        <w:gridCol w:w="109"/>
        <w:gridCol w:w="109"/>
        <w:gridCol w:w="224"/>
        <w:gridCol w:w="655"/>
        <w:gridCol w:w="288"/>
        <w:gridCol w:w="109"/>
        <w:gridCol w:w="109"/>
        <w:gridCol w:w="109"/>
        <w:gridCol w:w="273"/>
        <w:gridCol w:w="238"/>
        <w:gridCol w:w="703"/>
      </w:tblGrid>
      <w:tr>
        <w:trPr/>
        <w:tc>
          <w:tcPr>
            <w:tcW w:w="60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w:t>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Percentage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Percentage Change</w:t>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Cyber vulnerability response expenses, net</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3,455 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659 </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424 </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6,079 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2,126 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As a percentage of total revenue</w:t>
            </w:r>
          </w:p>
        </w:tc>
        <w:tc>
          <w:tcPr>
            <w:tcW w:w="8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1 </w:t>
            </w:r>
          </w:p>
        </w:tc>
        <w:tc>
          <w:tcPr>
            <w:tcW w:w="28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1 </w:t>
            </w:r>
          </w:p>
        </w:tc>
        <w:tc>
          <w:tcPr>
            <w:tcW w:w="28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Since the discovery of the MOVEit Vulnerability that was disclosed on June 5, 2023, we have incurred expenses and will incur future costs related thereto. Such costs and expenses are net of received insurance recoveries. As of August 31, 2026, there is no remaining insurance recovery available to reduce costs incurred related to the MOVEit Vulnerability. Please refer to Note 12, </w:t>
      </w:r>
      <w:r>
        <w:rPr>
          <w:rFonts w:ascii="Times New Roman;serif" w:hAnsi="Times New Roman;serif"/>
          <w:b w:val="false"/>
          <w:i/>
          <w:color w:val="000000"/>
          <w:sz w:val="20"/>
        </w:rPr>
        <w:t>Cyber Related Matters</w:t>
      </w:r>
      <w:r>
        <w:rPr>
          <w:color w:val="000000"/>
        </w:rPr>
        <w:t xml:space="preserve"> </w:t>
      </w:r>
      <w:r>
        <w:rPr>
          <w:rFonts w:ascii="Times New Roman;serif" w:hAnsi="Times New Roman;serif"/>
          <w:b w:val="false"/>
          <w:color w:val="000000"/>
          <w:sz w:val="20"/>
        </w:rPr>
        <w:t>for additional details and updates regarding the MOVEit Vulnerability.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Restructuring Expenses</w:t>
      </w:r>
    </w:p>
    <w:tbl>
      <w:tblPr>
        <w:tblW w:w="10205" w:type="dxa"/>
        <w:jc w:val="left"/>
        <w:tblInd w:w="0" w:type="dxa"/>
        <w:tblLayout w:type="fixed"/>
        <w:tblCellMar>
          <w:top w:w="28" w:type="dxa"/>
          <w:left w:w="28" w:type="dxa"/>
          <w:bottom w:w="28" w:type="dxa"/>
          <w:right w:w="28" w:type="dxa"/>
        </w:tblCellMar>
      </w:tblPr>
      <w:tblGrid>
        <w:gridCol w:w="591"/>
        <w:gridCol w:w="519"/>
        <w:gridCol w:w="525"/>
        <w:gridCol w:w="240"/>
        <w:gridCol w:w="532"/>
        <w:gridCol w:w="309"/>
        <w:gridCol w:w="109"/>
        <w:gridCol w:w="109"/>
        <w:gridCol w:w="109"/>
        <w:gridCol w:w="240"/>
        <w:gridCol w:w="532"/>
        <w:gridCol w:w="309"/>
        <w:gridCol w:w="109"/>
        <w:gridCol w:w="109"/>
        <w:gridCol w:w="109"/>
        <w:gridCol w:w="259"/>
        <w:gridCol w:w="259"/>
        <w:gridCol w:w="650"/>
        <w:gridCol w:w="109"/>
        <w:gridCol w:w="109"/>
        <w:gridCol w:w="109"/>
        <w:gridCol w:w="229"/>
        <w:gridCol w:w="669"/>
        <w:gridCol w:w="294"/>
        <w:gridCol w:w="109"/>
        <w:gridCol w:w="109"/>
        <w:gridCol w:w="109"/>
        <w:gridCol w:w="229"/>
        <w:gridCol w:w="669"/>
        <w:gridCol w:w="294"/>
        <w:gridCol w:w="109"/>
        <w:gridCol w:w="109"/>
        <w:gridCol w:w="109"/>
        <w:gridCol w:w="247"/>
        <w:gridCol w:w="247"/>
        <w:gridCol w:w="727"/>
      </w:tblGrid>
      <w:tr>
        <w:trPr/>
        <w:tc>
          <w:tcPr>
            <w:tcW w:w="591"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w:t>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Percentage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Percentage Change</w:t>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expenses</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907 </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2,332 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8,979 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As a percentage of total revenue</w:t>
            </w:r>
          </w:p>
        </w:tc>
        <w:tc>
          <w:tcPr>
            <w:tcW w:w="7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1 </w:t>
            </w:r>
          </w:p>
        </w:tc>
        <w:tc>
          <w:tcPr>
            <w:tcW w:w="29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Restructuring expenses recorded in the third quarter and first nine months of fiscal year 2026 primarily relate to the headcount reduction action in November 2025, and facility closures in other existing restructuring actions. Restructuring expenses recorded in the third quarter and first nine months of fiscal year 2025 primarily relate to headcount reductions and a facility closure in connection with the restructuring action related to the ShareFile acquisition in November 2024. See Note 9, </w:t>
      </w:r>
      <w:r>
        <w:rPr>
          <w:rFonts w:ascii="Times New Roman;serif" w:hAnsi="Times New Roman;serif"/>
          <w:b w:val="false"/>
          <w:i/>
          <w:color w:val="000000"/>
          <w:sz w:val="20"/>
        </w:rPr>
        <w:t>Restructuring</w:t>
      </w:r>
      <w:r>
        <w:rPr>
          <w:color w:val="000000"/>
        </w:rPr>
        <w:t xml:space="preserve"> </w:t>
      </w:r>
      <w:r>
        <w:rPr>
          <w:rFonts w:ascii="Times New Roman;serif" w:hAnsi="Times New Roman;serif"/>
          <w:b w:val="false"/>
          <w:color w:val="000000"/>
          <w:sz w:val="20"/>
        </w:rPr>
        <w:t>for additional details, including types of expenses incurred and the timing of future expenses and cash payments.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Acquisition-Related Expenses</w:t>
      </w:r>
    </w:p>
    <w:tbl>
      <w:tblPr>
        <w:tblW w:w="10205" w:type="dxa"/>
        <w:jc w:val="left"/>
        <w:tblInd w:w="0" w:type="dxa"/>
        <w:tblLayout w:type="fixed"/>
        <w:tblCellMar>
          <w:top w:w="28" w:type="dxa"/>
          <w:left w:w="28" w:type="dxa"/>
          <w:bottom w:w="28" w:type="dxa"/>
          <w:right w:w="28" w:type="dxa"/>
        </w:tblCellMar>
      </w:tblPr>
      <w:tblGrid>
        <w:gridCol w:w="669"/>
        <w:gridCol w:w="589"/>
        <w:gridCol w:w="592"/>
        <w:gridCol w:w="220"/>
        <w:gridCol w:w="645"/>
        <w:gridCol w:w="283"/>
        <w:gridCol w:w="109"/>
        <w:gridCol w:w="109"/>
        <w:gridCol w:w="109"/>
        <w:gridCol w:w="227"/>
        <w:gridCol w:w="502"/>
        <w:gridCol w:w="292"/>
        <w:gridCol w:w="109"/>
        <w:gridCol w:w="109"/>
        <w:gridCol w:w="109"/>
        <w:gridCol w:w="263"/>
        <w:gridCol w:w="241"/>
        <w:gridCol w:w="605"/>
        <w:gridCol w:w="109"/>
        <w:gridCol w:w="109"/>
        <w:gridCol w:w="109"/>
        <w:gridCol w:w="220"/>
        <w:gridCol w:w="645"/>
        <w:gridCol w:w="283"/>
        <w:gridCol w:w="109"/>
        <w:gridCol w:w="109"/>
        <w:gridCol w:w="109"/>
        <w:gridCol w:w="220"/>
        <w:gridCol w:w="645"/>
        <w:gridCol w:w="283"/>
        <w:gridCol w:w="109"/>
        <w:gridCol w:w="109"/>
        <w:gridCol w:w="109"/>
        <w:gridCol w:w="231"/>
        <w:gridCol w:w="231"/>
        <w:gridCol w:w="684"/>
      </w:tblGrid>
      <w:tr>
        <w:trPr/>
        <w:tc>
          <w:tcPr>
            <w:tcW w:w="66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r>
      <w:tr>
        <w:trPr/>
        <w:tc>
          <w:tcPr>
            <w:tcW w:w="1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w:t>
            </w:r>
          </w:p>
        </w:tc>
      </w:tr>
      <w:tr>
        <w:trPr/>
        <w:tc>
          <w:tcPr>
            <w:tcW w:w="1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Percentage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Percentage Change</w:t>
            </w:r>
          </w:p>
        </w:tc>
      </w:tr>
      <w:tr>
        <w:trPr/>
        <w:tc>
          <w:tcPr>
            <w:tcW w:w="1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expenses</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3,928 </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3,803 </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5,035 </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As a percentage of total revenue</w:t>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2 </w:t>
            </w:r>
          </w:p>
        </w:tc>
        <w:tc>
          <w:tcPr>
            <w:tcW w:w="28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1 </w:t>
            </w:r>
          </w:p>
        </w:tc>
        <w:tc>
          <w:tcPr>
            <w:tcW w:w="28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1 </w:t>
            </w:r>
          </w:p>
        </w:tc>
        <w:tc>
          <w:tcPr>
            <w:tcW w:w="28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Acquisition-related costs are expensed as incurred and include those costs incurred as a result of business combinations. These costs consist of professional service fees, including third-party legal and valuation-related fees. The increase in acquisition-related expenses in the third quarter of fiscal year 2026 are due to our acquisition of Domo. The decrease in acquisition costs in the first nine months of fiscal year 2026 was due to the fair value adjustment related to the contingent earn-out to former Nuclia shareholders. See Note 4, </w:t>
      </w:r>
      <w:r>
        <w:rPr>
          <w:rFonts w:ascii="Times New Roman;serif" w:hAnsi="Times New Roman;serif"/>
          <w:b w:val="false"/>
          <w:i/>
          <w:color w:val="000000"/>
          <w:sz w:val="20"/>
        </w:rPr>
        <w:t>Business Combination.</w:t>
      </w:r>
      <w:r>
        <w:rPr>
          <w:color w:val="000000"/>
        </w:rPr>
        <w:t xml:space="preserve"> </w:t>
      </w:r>
      <w:r>
        <w:rPr>
          <w:rFonts w:ascii="Times New Roman;serif" w:hAnsi="Times New Roman;serif"/>
          <w:b w:val="false"/>
          <w:color w:val="000000"/>
          <w:sz w:val="20"/>
        </w:rPr>
        <w:t>Acquisition-related expenses in the same periods of fiscal year 2025 were primarily related to our acquisitions of ShareFile and Nuclia.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Other (Expense) Income</w:t>
      </w:r>
    </w:p>
    <w:tbl>
      <w:tblPr>
        <w:tblW w:w="10205" w:type="dxa"/>
        <w:jc w:val="left"/>
        <w:tblInd w:w="0" w:type="dxa"/>
        <w:tblLayout w:type="fixed"/>
        <w:tblCellMar>
          <w:top w:w="28" w:type="dxa"/>
          <w:left w:w="28" w:type="dxa"/>
          <w:bottom w:w="28" w:type="dxa"/>
          <w:right w:w="28" w:type="dxa"/>
        </w:tblCellMar>
      </w:tblPr>
      <w:tblGrid>
        <w:gridCol w:w="583"/>
        <w:gridCol w:w="357"/>
        <w:gridCol w:w="358"/>
        <w:gridCol w:w="215"/>
        <w:gridCol w:w="761"/>
        <w:gridCol w:w="276"/>
        <w:gridCol w:w="109"/>
        <w:gridCol w:w="109"/>
        <w:gridCol w:w="109"/>
        <w:gridCol w:w="215"/>
        <w:gridCol w:w="761"/>
        <w:gridCol w:w="276"/>
        <w:gridCol w:w="109"/>
        <w:gridCol w:w="109"/>
        <w:gridCol w:w="109"/>
        <w:gridCol w:w="264"/>
        <w:gridCol w:w="242"/>
        <w:gridCol w:w="608"/>
        <w:gridCol w:w="109"/>
        <w:gridCol w:w="109"/>
        <w:gridCol w:w="109"/>
        <w:gridCol w:w="215"/>
        <w:gridCol w:w="761"/>
        <w:gridCol w:w="276"/>
        <w:gridCol w:w="109"/>
        <w:gridCol w:w="109"/>
        <w:gridCol w:w="109"/>
        <w:gridCol w:w="215"/>
        <w:gridCol w:w="761"/>
        <w:gridCol w:w="276"/>
        <w:gridCol w:w="109"/>
        <w:gridCol w:w="109"/>
        <w:gridCol w:w="109"/>
        <w:gridCol w:w="231"/>
        <w:gridCol w:w="231"/>
        <w:gridCol w:w="688"/>
      </w:tblGrid>
      <w:tr>
        <w:trPr/>
        <w:tc>
          <w:tcPr>
            <w:tcW w:w="583"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r>
      <w:tr>
        <w:trPr/>
        <w:tc>
          <w:tcPr>
            <w:tcW w:w="12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w:t>
            </w:r>
          </w:p>
        </w:tc>
      </w:tr>
      <w:tr>
        <w:trPr/>
        <w:tc>
          <w:tcPr>
            <w:tcW w:w="12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2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Percentage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Percentage Change</w:t>
            </w:r>
          </w:p>
        </w:tc>
      </w:tr>
      <w:tr>
        <w:trPr/>
        <w:tc>
          <w:tcPr>
            <w:tcW w:w="1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(16,907)</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(17,737)</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(48,064)</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(54,304)</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and other, net</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loss, net</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(2,795)</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(2,281)</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net</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(17,017)</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(17,668)</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6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(49,552)</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(55,544)</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6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As a percentage of total revenue</w:t>
            </w:r>
          </w:p>
        </w:tc>
        <w:tc>
          <w:tcPr>
            <w:tcW w:w="97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w:t>
            </w:r>
          </w:p>
        </w:tc>
        <w:tc>
          <w:tcPr>
            <w:tcW w:w="2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w:t>
            </w:r>
          </w:p>
        </w:tc>
        <w:tc>
          <w:tcPr>
            <w:tcW w:w="2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w:t>
            </w:r>
          </w:p>
        </w:tc>
        <w:tc>
          <w:tcPr>
            <w:tcW w:w="2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(8)</w:t>
            </w:r>
          </w:p>
        </w:tc>
        <w:tc>
          <w:tcPr>
            <w:tcW w:w="2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Total other expense, net, decreased in the third quarter and first nine months of fiscal year 2026 due to a lower weighted average balance and interest rate on our revolving line of credit as compared to the same periods last year. These decreases in interest expense were partially offset by the redemption of our 2026 Notes in April, which was funded by drawing on our revolving line of credit that carries a higher interest rate than the Notes. Refer to Note 5, </w:t>
      </w:r>
      <w:r>
        <w:rPr>
          <w:rFonts w:ascii="Times New Roman;serif" w:hAnsi="Times New Roman;serif"/>
          <w:b w:val="false"/>
          <w:i/>
          <w:color w:val="000000"/>
          <w:sz w:val="20"/>
        </w:rPr>
        <w:t>Debt</w:t>
      </w:r>
      <w:r>
        <w:rPr>
          <w:color w:val="000000"/>
        </w:rPr>
        <w:t xml:space="preserve"> </w:t>
      </w:r>
      <w:r>
        <w:rPr>
          <w:rFonts w:ascii="Times New Roman;serif" w:hAnsi="Times New Roman;serif"/>
          <w:b w:val="false"/>
          <w:color w:val="000000"/>
          <w:sz w:val="20"/>
        </w:rPr>
        <w:t>for further discussion.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Provision for Income Taxes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660"/>
        <w:gridCol w:w="427"/>
        <w:gridCol w:w="428"/>
        <w:gridCol w:w="222"/>
        <w:gridCol w:w="649"/>
        <w:gridCol w:w="285"/>
        <w:gridCol w:w="109"/>
        <w:gridCol w:w="109"/>
        <w:gridCol w:w="109"/>
        <w:gridCol w:w="222"/>
        <w:gridCol w:w="649"/>
        <w:gridCol w:w="285"/>
        <w:gridCol w:w="109"/>
        <w:gridCol w:w="109"/>
        <w:gridCol w:w="109"/>
        <w:gridCol w:w="244"/>
        <w:gridCol w:w="244"/>
        <w:gridCol w:w="613"/>
        <w:gridCol w:w="109"/>
        <w:gridCol w:w="109"/>
        <w:gridCol w:w="109"/>
        <w:gridCol w:w="218"/>
        <w:gridCol w:w="746"/>
        <w:gridCol w:w="280"/>
        <w:gridCol w:w="109"/>
        <w:gridCol w:w="109"/>
        <w:gridCol w:w="109"/>
        <w:gridCol w:w="218"/>
        <w:gridCol w:w="746"/>
        <w:gridCol w:w="280"/>
        <w:gridCol w:w="109"/>
        <w:gridCol w:w="109"/>
        <w:gridCol w:w="109"/>
        <w:gridCol w:w="233"/>
        <w:gridCol w:w="233"/>
        <w:gridCol w:w="688"/>
      </w:tblGrid>
      <w:tr>
        <w:trPr/>
        <w:tc>
          <w:tcPr>
            <w:tcW w:w="660"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6"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w:t>
            </w:r>
          </w:p>
        </w:tc>
      </w:tr>
      <w:tr>
        <w:trPr/>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Percentage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Percentage Change</w:t>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6,757 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6,793 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6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22,003 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11,984 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As a percentage of income before income taxes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23 </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26 </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25 </w:t>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20 </w:t>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effective tax rate was 23% and 26% in the third fiscal quarters of 2026 and 2025, respectively. The decrease in the effective rate is primarily due to changes in the jurisdictional mix of earnings, including the proportion of U.S. versus non-U.S. income, and minimal discrete tax benefit in the third fiscal quarter of 2026 compared to discrete tax expense of $2.0 million in the third fiscal quarter of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July 4, 2025, the One Big Beautiful Bill Act ("OBBBA") was enacted into law, introducing significant changes to the U.S. federal income tax system. The legislation contains key modifications to the provisions of the 2017 Tax Cuts and Jobs Act and has multiple effective dates. In our fiscal 2026, provisions under OBBBA allow for an immediate deduction of U.S. Research &amp; Experimental expenditures and a return to interest expense limitations based on EBITDA, which results in a reduction to the current taxes payable.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Select Performance Metrics: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Management evaluates our financial performance using a number of financial and operating metrics. These metrics are periodically reviewed and revised to reflect changes in our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Annualized Recurring Revenue ("ARR")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disclose ARR as a performance metric to help investors better understand and assess the performance of our business because our mix of revenue generated from recurring sources currently represents the substantial majority of our revenues and is expected to continue in the future. We define ARR as the annualized revenue of all active and contractually binding term-based contracts from all customers at a point in time. ARR includes revenue from maintenance, software upgrade rights, public cloud, and on-premises subscription-based transactions and managed services. ARR mitigates fluctuations in revenue due to seasonality, contract term and the sales mix of subscriptions for term-based licenses and SaaS. We use ARR to understand customer trends and the overall health of our business, helping us to formulate strategic business decisions.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calculate the annualized value of annual and multi-year contracts, and contracts with terms less than one year, by dividing the total contract value of each contract by the number of months in the term and then multiplying by 12. Annualizing contracts with terms less than one-year results in amounts being included in our ARR that are in excess of the total contract value for those contracts at the end of the reporting period. We generally do not sell non-SaaS-based contracts with a term of less than one year unless a customer is purchasing additional licenses under an existing annual or multi-year contract. The expectation is that at the time of renewal, such contracts with a term less than one year will renew with the same term as the existing contracts being renewed, such that both contracts are co-termed. Historically, such contracts with a term of less than one year renew at rates equal to or better than annual or multi-year contracts.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SaaS-based contracts, there is a meaningful percentage of monthly auto-renewing contracts for which annualizing the contracts results in amounts being included in our ARR that are in excess of the total contract value for those contracts at the end of the reporting period.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Revenue from term-based license and on-premises subscription arrangements include a portion of the arrangement consideration that is allocated to the software license that is recognized up-front at the point in time control is transferred under ASC 606 revenue recognition principles. ARR for these arrangements is calculated as described above. The expectation is that the total contract value, inclusive of revenue recognized as software license, will be renewed at the end of the contract term. The calculation is done at constant currency using the current year budgeted exchange rates for all periods presented.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ARR is not defined in GAAP and is not derived from a GAAP measure. Rather, ARR generally aligns to billings (as opposed to GAAP revenue which aligns to the transfer of control of each performance obligation). ARR does not have any standardized meaning and is therefore unlikely to be comparable to similarly titled measures presented by other companies. ARR should be viewed independently of revenue and deferred revenue and is not intended to be combined with or to replace either of those items. ARR is not a forecast and the active contracts at the end of a reporting period used in calculating ARR may or may not be extended or renewed by our customers.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ARR was $873 million and $861 million as of August 31, 2026 and 2025, respectively, which is an increase of 1% year-over-year.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Net Retention Rate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calculate net retention rate as of a period end by starting with the ARR from the cohort of all customers as of 12 months prior to such period end ("Prior Period ARR"). We then calculate the ARR from these same customers as of the current period end ("Current Period ARR"). Current Period ARR includes any expansion and is net of contraction or attrition over the last 12 months but excludes ARR from new customers in the current period. We then divide the total Current Period ARR by the total Prior Period ARR to arrive at the net retention rate. Net retention rate is not calculated in accordance with GAAP and is not derived from a GAAP measure.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net retention rates have generally ranged between 99% and 100% for all periods presented. We believe net retention rates can be a helpful indicator of the durability of top line performance.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Cash and Cash Equivalents</w:t>
      </w:r>
    </w:p>
    <w:p>
      <w:pPr>
        <w:pStyle w:val="TextBody"/>
        <w:bidi w:val="0"/>
        <w:spacing w:lineRule="auto" w:line="288" w:before="0" w:after="0"/>
        <w:jc w:val="left"/>
        <w:rPr>
          <w:color w:val="000000"/>
        </w:rPr>
      </w:pPr>
      <w:r>
        <w:rPr>
          <w:color w:val="000000"/>
        </w:rPr>
        <w:t> </w:t>
      </w:r>
    </w:p>
    <w:tbl>
      <w:tblPr>
        <w:tblW w:w="5801" w:type="dxa"/>
        <w:jc w:val="left"/>
        <w:tblInd w:w="0" w:type="dxa"/>
        <w:tblLayout w:type="fixed"/>
        <w:tblCellMar>
          <w:top w:w="28" w:type="dxa"/>
          <w:left w:w="28" w:type="dxa"/>
          <w:bottom w:w="28" w:type="dxa"/>
          <w:right w:w="28" w:type="dxa"/>
        </w:tblCellMar>
      </w:tblPr>
      <w:tblGrid>
        <w:gridCol w:w="820"/>
        <w:gridCol w:w="721"/>
        <w:gridCol w:w="723"/>
        <w:gridCol w:w="268"/>
        <w:gridCol w:w="1049"/>
        <w:gridCol w:w="138"/>
        <w:gridCol w:w="109"/>
        <w:gridCol w:w="109"/>
        <w:gridCol w:w="109"/>
        <w:gridCol w:w="341"/>
        <w:gridCol w:w="1165"/>
        <w:gridCol w:w="249"/>
      </w:tblGrid>
      <w:tr>
        <w:trPr/>
        <w:tc>
          <w:tcPr>
            <w:tcW w:w="82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30, 2025</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113,653 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94,807 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increase in cash and cash equivalents of $18.8 million from the end of fiscal year 2025 was due to cash inflows from operations of $265.5 million. The cash inflows described above were offset by cash outflows of $170.0 million to pay down the revolving line of credit, repurchases of common stock of $72.0 million, and purchases of property and equipment of $6.3 million. Except as described below, there are no limitations on our ability to access our cash and cash equivalents.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August 31, 2026, $68.8 million of our cash and cash equivalents was held by our foreign subsidiaries. We plan to utilize worldwide cash based on the needs of the parent entity, including principal payments on our revolving credit facility. These amounts will be repatriated as needed, and deferred taxes are recorded for earnings of our foreign operations that we determine are not indefinitely reinvested.</w:t>
      </w:r>
    </w:p>
    <w:p>
      <w:pPr>
        <w:pStyle w:val="TextBody"/>
        <w:bidi w:val="0"/>
        <w:spacing w:before="0" w:after="0"/>
        <w:jc w:val="left"/>
        <w:rPr/>
      </w:pPr>
      <w:r>
        <w:rPr/>
      </w:r>
    </w:p>
    <w:tbl>
      <w:tblPr>
        <w:tblW w:w="7225" w:type="dxa"/>
        <w:jc w:val="left"/>
        <w:tblInd w:w="0" w:type="dxa"/>
        <w:tblLayout w:type="fixed"/>
        <w:tblCellMar>
          <w:top w:w="28" w:type="dxa"/>
          <w:left w:w="28" w:type="dxa"/>
          <w:bottom w:w="28" w:type="dxa"/>
          <w:right w:w="28" w:type="dxa"/>
        </w:tblCellMar>
      </w:tblPr>
      <w:tblGrid>
        <w:gridCol w:w="1428"/>
        <w:gridCol w:w="1256"/>
        <w:gridCol w:w="1260"/>
        <w:gridCol w:w="251"/>
        <w:gridCol w:w="1074"/>
        <w:gridCol w:w="129"/>
        <w:gridCol w:w="109"/>
        <w:gridCol w:w="109"/>
        <w:gridCol w:w="109"/>
        <w:gridCol w:w="250"/>
        <w:gridCol w:w="1068"/>
        <w:gridCol w:w="182"/>
      </w:tblGrid>
      <w:tr>
        <w:trPr/>
        <w:tc>
          <w:tcPr>
            <w:tcW w:w="1428"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Nine Months Ended</w:t>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31, 2025</w:t>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flows provided by operating activities</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265,474 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172,389 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flows used in investing activities</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(6,264)</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(23,493)</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flows used in financing activities</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(238,286)</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(175,784)</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Cash Flows Provided by Operating Activities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increase in cash generated from operations in the first nine months of fiscal year 2026, as compared to the same period last year, was primarily attributable to higher collections, increased income from operations, and lower interest expense.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gross accounts receivable as of August 31, 2026, decreased by $78.8 million from the end of fiscal year 2025. Our days sales outstanding ("DSO") in accounts receivable was 42 days in the third quarter of fiscal year 2026 compared to 55 days and 73 days in the third and fourth fiscal quarters of 2025, respectively, due to the timing of billings and collections.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Cash Flows Used in Investing Activities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cash outflows and inflows of our net investment activity are generally a result of capital expenditures as well as the timing of acquisitions. In the first nine months of fiscal year 2026, we purchased $6.3 million of property and equipment. In the third quarter of fiscal year 2025 we had $2.8 million of purchases of property and equipment and a payment of $20.7 million related to the acquisition of Nuclia.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Cash Flows Used in Financing Activities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made payments on our revolving line of credit of $170.0 million through the third quarter of fiscal year 2026 as compared to $110.0 million in the same period of fiscal year 2025. We repurchased $72.0 million of our common stock under our share repurchase plan in the first nine months of fiscal year 2026 as compared to $65.1 million in the same period of the prior year. Further, we received proceeds from our revolving line of credit of $360.0 million which we used to repurchase the 2026 Notes for $360.0 million.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Share Repurchases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September 23, 2025, our Board of Directors increased the share repurchase authorization by $200.0 million to an aggregate authorization of $242.2 million. During the three and nine months ended August 31, 2026, we repurchased and retired 0.5 million shares for $16.9 million and 2.2 million shares for $71.6 million, respectively. During the three and nine months ended August 31, 2025, we repurchased and retired 0.3 million shares for $15.0 million and 1.2 million shares for $65.1 million, respectively. The shares were repurchased in both periods as part of the share repurchase program as authorized by our Board of Directors. As of August 31, 2026, there was $130.7 million remaining under the current authorization.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Restructuring Activities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See Note 9, </w:t>
      </w:r>
      <w:r>
        <w:rPr>
          <w:rFonts w:ascii="Times New Roman;serif" w:hAnsi="Times New Roman;serif"/>
          <w:b w:val="false"/>
          <w:i/>
          <w:color w:val="000000"/>
          <w:sz w:val="20"/>
        </w:rPr>
        <w:t>Restructuring</w:t>
      </w:r>
      <w:r>
        <w:rPr>
          <w:color w:val="000000"/>
        </w:rPr>
        <w:t xml:space="preserve"> </w:t>
      </w:r>
      <w:r>
        <w:rPr>
          <w:rFonts w:ascii="Times New Roman;serif" w:hAnsi="Times New Roman;serif"/>
          <w:b w:val="false"/>
          <w:color w:val="000000"/>
          <w:sz w:val="20"/>
        </w:rPr>
        <w:t>to the condensed consolidated financial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Convertible Senior Notes and Long-Term Debt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See Note 5, </w:t>
      </w:r>
      <w:r>
        <w:rPr>
          <w:rFonts w:ascii="Times New Roman;serif" w:hAnsi="Times New Roman;serif"/>
          <w:b w:val="false"/>
          <w:i/>
          <w:color w:val="000000"/>
          <w:sz w:val="20"/>
        </w:rPr>
        <w:t>Debt</w:t>
      </w:r>
      <w:r>
        <w:rPr>
          <w:color w:val="000000"/>
        </w:rPr>
        <w:t xml:space="preserve"> </w:t>
      </w:r>
      <w:r>
        <w:rPr>
          <w:rFonts w:ascii="Times New Roman;serif" w:hAnsi="Times New Roman;serif"/>
          <w:b w:val="false"/>
          <w:color w:val="000000"/>
          <w:sz w:val="20"/>
        </w:rPr>
        <w:t>to the condensed consolidated financial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Liquidity Outlook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Cash from operations in fiscal year 2026 could be affected by various risks and uncertainties, including, but not limited to, the effects of various risks detailed in Part I, Item 1A. Risk Factors in our 2025 Annual Report, including increased disruption and volatility in capital markets and credit markets that could adversely affect our liquidity and capital resources in the future. However, based on our current business plan, we believe that existing cash balances, together with funds generated from operations and amounts available under our revolving credit facility, will be sufficient to finance our operations and meet our foreseeable cash requirements through at least the next twelve months. Our foreseeable cash needs include capital expenditures, acquisitions (including the acquisition of Domo for approximately $400 million, funded with borrowings under our existing revolving credit facility), debt repayments, share repurchases, lease commitments, restructuring obligations, and other long-term obligations.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expect to continue to make payments on the revolving credit facility and are also continuously evaluating additional financing options, the net proceeds of which could be used for general corporate purposes or to repay outstanding indebtedness.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Legal and Other Regulatory Matters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MOVEit Vulnerability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previously disclosed, on the evening of May 28, 2023, we learned that our MOVEit Transfer (the on-premise version) and MOVEit Cloud (a cloud-hosted version of MOVEit Transfer) products were attacked by a threat actor who compromised and exfiltrated personal data from various customer-controlled MOVEit Transfer environments. As a result of the MOVEit Vulnerability, we are party to certain class action lawsuits filed by individuals who claim to have been impacted by the exfiltration of data from the environments of our MOVEit Transfer customers, which have been centralized in the MDL. The MDL has also consolidated an insurance subrogation complaint (where an insurer is seeking recovery for expenses incurred on behalf of its insured in connection with the MOVEit Vulnerability) and, as of the date of this filing, one customer cross-claim. Motions to dismiss were filed and partially granted in July 2025, then further partially granted in January 2026 in response to our motions for reconsideration. In all, the court has dismissed, in whole or in part, 23 of the 33 claims asserted by the bellwether plaintiffs in the MDL. The court has ordered the conclusion of fact discovery by September 29, 2026. The filing of class certification occurred on August 28, 2026, and will continue into the fourth quarter of 2026. The MDL is not expected to conclude within the next twelve months. As previously disclosed, we have also cooperated with inquiries and investigations from various governmental authorities, a number of which have been formally closed and, as of the date of this filing, have not resulted in any prosecution or enforcement actions.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Please refer to Note 12, </w:t>
      </w:r>
      <w:r>
        <w:rPr>
          <w:rFonts w:ascii="Times New Roman;serif" w:hAnsi="Times New Roman;serif"/>
          <w:b w:val="false"/>
          <w:i/>
          <w:color w:val="000000"/>
          <w:sz w:val="20"/>
        </w:rPr>
        <w:t>Cyber Related Matters</w:t>
      </w:r>
      <w:r>
        <w:rPr>
          <w:color w:val="000000"/>
        </w:rPr>
        <w:t xml:space="preserve"> </w:t>
      </w:r>
      <w:r>
        <w:rPr>
          <w:rFonts w:ascii="Times New Roman;serif" w:hAnsi="Times New Roman;serif"/>
          <w:b w:val="false"/>
          <w:color w:val="000000"/>
          <w:sz w:val="20"/>
        </w:rPr>
        <w:t>to the condensed consolidated financial statements for additional details and updates regarding the MOVEit Vulnerability.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Refer to Note 1, </w:t>
      </w:r>
      <w:r>
        <w:rPr>
          <w:rFonts w:ascii="Times New Roman;serif" w:hAnsi="Times New Roman;serif"/>
          <w:b w:val="false"/>
          <w:i/>
          <w:color w:val="000000"/>
          <w:sz w:val="20"/>
        </w:rPr>
        <w:t>Summary of Significant Accounting Policies</w:t>
      </w:r>
      <w:r>
        <w:rPr>
          <w:color w:val="000000"/>
        </w:rPr>
        <w:t xml:space="preserve"> </w:t>
      </w:r>
      <w:r>
        <w:rPr>
          <w:rFonts w:ascii="Times New Roman;serif" w:hAnsi="Times New Roman;serif"/>
          <w:b w:val="false"/>
          <w:color w:val="000000"/>
          <w:sz w:val="20"/>
        </w:rPr>
        <w:t>to the condensed consolidated financial statements for further discussion.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first nine months of fiscal year 2026, with the exception of changes in borrowings under our revolving credit facility, there were no significant changes to our quantitative and qualitative disclosures about market risk. Please refer to Part II, Item 7A. Quantitative and Qualitative Disclosures about Market Risk included in our 2025 Annual Report, for a more complete discussion of the market risks we encounter.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 Evaluation of disclosure controls and procedures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management maintains disclosure controls and procedures as defined in Rules 13a-15(e) and 15d-15(e) under the Securities and Exchange Act of 1934, as amended (the "Exchange Act") that are designed to provide reasonable assurance that information required to be disclosed in our reports filed or submitted under the Exchange Act is processed, recorded, summarized, and reported within the time periods specified in the SEC's rules and forms, and that such information is accumulated and communicated to management, including our Chief Executive Officer and Chief Financial Officer (our principal executive officer and principal financial officer, respectively), as appropriate, to allow for timely decisions regarding required disclosure.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management, including our principal executive and principal financial officers, evaluated the effectiveness of the design and operation of our disclosure controls and procedures as of the end of the period covered by this report. Based on this evaluation, we concluded that our disclosure controls and procedures were effective at the reasonable assurance level as of August 31,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 Changes in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There were no changes in our internal control over financial reporting during the fiscal quarter ended August 31, 2026 that have materially affected, or are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II.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Please refer to Note 12, </w:t>
      </w:r>
      <w:r>
        <w:rPr>
          <w:rFonts w:ascii="Times New Roman;serif" w:hAnsi="Times New Roman;serif"/>
          <w:b w:val="false"/>
          <w:i/>
          <w:color w:val="000000"/>
          <w:sz w:val="20"/>
        </w:rPr>
        <w:t>Cyber Related Matters</w:t>
      </w:r>
      <w:r>
        <w:rPr>
          <w:color w:val="000000"/>
        </w:rPr>
        <w:t xml:space="preserve"> </w:t>
      </w:r>
      <w:r>
        <w:rPr>
          <w:rFonts w:ascii="Times New Roman;serif" w:hAnsi="Times New Roman;serif"/>
          <w:b w:val="false"/>
          <w:color w:val="000000"/>
          <w:sz w:val="20"/>
        </w:rPr>
        <w:t xml:space="preserve">to the condensed consolidated financial statements for a discussion of legal proceedings related to the MOVEit Vulnerability. Our 2025 Annual Report and previous SEC filings also contain additional information, including risk factors, related to the MOVEit Vulnerability.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are also subject to various other legal proceedings and claims, either asserted or unasserted, which arise in the ordinary course of business. While the outcome of these claims cannot be predicted with certainty, management does not believe that the outcome of any of these legal matters will have a material effect on our financial position, results of operations, or cash flows.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operate in a rapidly changing environment that involves certain risks and uncertainties, some of which are beyond our control. In addition to the information provided in this report, please refer to Part I, Item 1A. Risk Factors in our 2025 Annual Report for a more complete discussion regarding certain factors that could materially affect our business, financial condition, or future results.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 Stock Repurchases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Information related to the repurchases of our common stock by month in the third quarter of fiscal year 2026 is as follows: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99"/>
        <w:gridCol w:w="439"/>
        <w:gridCol w:w="442"/>
        <w:gridCol w:w="109"/>
        <w:gridCol w:w="109"/>
        <w:gridCol w:w="109"/>
        <w:gridCol w:w="604"/>
        <w:gridCol w:w="439"/>
        <w:gridCol w:w="440"/>
        <w:gridCol w:w="109"/>
        <w:gridCol w:w="109"/>
        <w:gridCol w:w="109"/>
        <w:gridCol w:w="278"/>
        <w:gridCol w:w="811"/>
        <w:gridCol w:w="143"/>
        <w:gridCol w:w="109"/>
        <w:gridCol w:w="109"/>
        <w:gridCol w:w="109"/>
        <w:gridCol w:w="836"/>
        <w:gridCol w:w="735"/>
        <w:gridCol w:w="737"/>
        <w:gridCol w:w="109"/>
        <w:gridCol w:w="109"/>
        <w:gridCol w:w="109"/>
        <w:gridCol w:w="440"/>
        <w:gridCol w:w="1726"/>
        <w:gridCol w:w="328"/>
      </w:tblGrid>
      <w:tr>
        <w:trPr/>
        <w:tc>
          <w:tcPr>
            <w:tcW w:w="49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 share and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Approximate Dollar Value of Shares that May Yet be Purchased Under the Plans or Programs</w:t>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329,321 </w:t>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31.28 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329,321 </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137,220 </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79,543 </w:t>
            </w:r>
          </w:p>
        </w:tc>
        <w:tc>
          <w:tcPr>
            <w:tcW w:w="4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39.06 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79,543 </w:t>
            </w:r>
          </w:p>
        </w:tc>
        <w:tc>
          <w:tcPr>
            <w:tcW w:w="7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134,112 </w:t>
            </w:r>
          </w:p>
        </w:tc>
        <w:tc>
          <w:tcPr>
            <w:tcW w:w="3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79,935 </w:t>
            </w:r>
          </w:p>
        </w:tc>
        <w:tc>
          <w:tcPr>
            <w:tcW w:w="4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79,935 </w:t>
            </w:r>
          </w:p>
        </w:tc>
        <w:tc>
          <w:tcPr>
            <w:tcW w:w="7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130,654 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488,799 </w:t>
            </w:r>
          </w:p>
        </w:tc>
        <w:tc>
          <w:tcPr>
            <w:tcW w:w="4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34.50 </w:t>
            </w:r>
          </w:p>
        </w:tc>
        <w:tc>
          <w:tcPr>
            <w:tcW w:w="1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488,799 </w:t>
            </w:r>
          </w:p>
        </w:tc>
        <w:tc>
          <w:tcPr>
            <w:tcW w:w="73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130,654 </w:t>
            </w:r>
          </w:p>
        </w:tc>
        <w:tc>
          <w:tcPr>
            <w:tcW w:w="3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September 23, 2025, our Board of Directors increased the share repurchase authorization by $200.0 million to an aggregate authorization of $242.2 million. The timing and amount of any shares repurchased will be determined by management based on its evaluation of market conditions and other factors, and the Board of Directors may choose to suspend, expand, or discontinue the repurchase program at any time. As of August 31, 2026, there was $130.7 million remaining under the current authorization.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 Insider Adoption or Termination of Trading Arrangements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third quarter of fiscal year 2026, none of our directors or officers informed us of the adoption or termination of a "Rule 10b5-1 trading arrangement" or "non-Rule 10b5-1 trading arrangement," as those terms are defined in Regulation S-K, Item 408.</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exhibits are filed or furnished as part of this Quarterly Report on Form 10-Q:</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52"/>
        <w:gridCol w:w="309"/>
        <w:gridCol w:w="310"/>
        <w:gridCol w:w="109"/>
        <w:gridCol w:w="109"/>
        <w:gridCol w:w="109"/>
        <w:gridCol w:w="1630"/>
        <w:gridCol w:w="1402"/>
        <w:gridCol w:w="1407"/>
        <w:gridCol w:w="109"/>
        <w:gridCol w:w="109"/>
        <w:gridCol w:w="109"/>
        <w:gridCol w:w="195"/>
        <w:gridCol w:w="195"/>
        <w:gridCol w:w="196"/>
        <w:gridCol w:w="120"/>
        <w:gridCol w:w="120"/>
        <w:gridCol w:w="120"/>
        <w:gridCol w:w="239"/>
        <w:gridCol w:w="239"/>
        <w:gridCol w:w="240"/>
        <w:gridCol w:w="120"/>
        <w:gridCol w:w="120"/>
        <w:gridCol w:w="120"/>
        <w:gridCol w:w="245"/>
        <w:gridCol w:w="245"/>
        <w:gridCol w:w="246"/>
        <w:gridCol w:w="109"/>
        <w:gridCol w:w="109"/>
        <w:gridCol w:w="109"/>
        <w:gridCol w:w="305"/>
        <w:gridCol w:w="305"/>
        <w:gridCol w:w="444"/>
      </w:tblGrid>
      <w:tr>
        <w:trPr/>
        <w:tc>
          <w:tcPr>
            <w:tcW w:w="352"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r>
      <w:tr>
        <w:trPr/>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Form</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Filing Date</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Filed Herewith</w:t>
            </w:r>
          </w:p>
        </w:tc>
      </w:tr>
      <w:tr>
        <w:trPr/>
        <w:tc>
          <w:tcPr>
            <w:tcW w:w="9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Asset Purchase Agreement, dated as of July 22, 2026, by and between Domo, Inc., a Delaware corporation and Progress Software Corporation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7/22/26</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311-q32026.htm">
              <w:r>
                <w:rPr>
                  <w:rStyle w:val="InternetLink"/>
                  <w:rFonts w:ascii="Times New Roman;serif" w:hAnsi="Times New Roman;serif"/>
                  <w:b w:val="false"/>
                  <w:color w:val="0000FF"/>
                  <w:sz w:val="20"/>
                  <w:u w:val="single"/>
                </w:rPr>
                <w:t>Certification of the Chief Executive Officer Pursuant to Section 302 of the Sarbanes-Oxley Act – Yogesh K. Gupta</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312-q32026.htm">
              <w:r>
                <w:rPr>
                  <w:rStyle w:val="InternetLink"/>
                  <w:rFonts w:ascii="Times New Roman;serif" w:hAnsi="Times New Roman;serif"/>
                  <w:b w:val="false"/>
                  <w:color w:val="0000FF"/>
                  <w:sz w:val="20"/>
                  <w:u w:val="single"/>
                </w:rPr>
                <w:t>Certification of the Chief Financial Officer Pursuant to Section 302 of the Sarbanes-Oxley Act – Anthony Folger</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321-q32026.htm">
              <w:r>
                <w:rPr>
                  <w:rStyle w:val="InternetLink"/>
                  <w:rFonts w:ascii="Times New Roman;serif" w:hAnsi="Times New Roman;serif"/>
                  <w:b w:val="false"/>
                  <w:color w:val="0000FF"/>
                  <w:sz w:val="20"/>
                  <w:u w:val="single"/>
                </w:rPr>
                <w:t>Certification Pursuant to Section 906 of the Sarbanes-Oxley Act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1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r>
      <w:tr>
        <w:trPr/>
        <w:tc>
          <w:tcPr>
            <w:tcW w:w="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tbl>
      <w:tblPr>
        <w:tblW w:w="1826" w:type="dxa"/>
        <w:jc w:val="left"/>
        <w:tblInd w:w="0" w:type="dxa"/>
        <w:tblLayout w:type="fixed"/>
        <w:tblCellMar>
          <w:top w:w="28" w:type="dxa"/>
          <w:left w:w="28" w:type="dxa"/>
          <w:bottom w:w="28" w:type="dxa"/>
          <w:right w:w="28" w:type="dxa"/>
        </w:tblCellMar>
      </w:tblPr>
      <w:tblGrid>
        <w:gridCol w:w="124"/>
        <w:gridCol w:w="109"/>
        <w:gridCol w:w="109"/>
        <w:gridCol w:w="434"/>
        <w:gridCol w:w="434"/>
        <w:gridCol w:w="61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Furnished herewith</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PROGRESS SOFTWARE CORPORATION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w:t>
      </w:r>
    </w:p>
    <w:p>
      <w:pPr>
        <w:pStyle w:val="TextBody"/>
        <w:bidi w:val="0"/>
        <w:spacing w:lineRule="auto" w:line="288" w:before="0" w:after="0"/>
        <w:jc w:val="left"/>
        <w:rPr>
          <w:color w:val="000000"/>
        </w:rPr>
      </w:pPr>
      <w:r>
        <w:rPr>
          <w:color w:val="000000"/>
        </w:rPr>
        <w:t> </w:t>
      </w:r>
    </w:p>
    <w:tbl>
      <w:tblPr>
        <w:tblW w:w="7150" w:type="dxa"/>
        <w:jc w:val="left"/>
        <w:tblInd w:w="0" w:type="dxa"/>
        <w:tblLayout w:type="fixed"/>
        <w:tblCellMar>
          <w:top w:w="28" w:type="dxa"/>
          <w:left w:w="28" w:type="dxa"/>
          <w:bottom w:w="28" w:type="dxa"/>
          <w:right w:w="28" w:type="dxa"/>
        </w:tblCellMar>
      </w:tblPr>
      <w:tblGrid>
        <w:gridCol w:w="238"/>
        <w:gridCol w:w="210"/>
        <w:gridCol w:w="212"/>
        <w:gridCol w:w="574"/>
        <w:gridCol w:w="574"/>
        <w:gridCol w:w="576"/>
        <w:gridCol w:w="109"/>
        <w:gridCol w:w="109"/>
        <w:gridCol w:w="109"/>
        <w:gridCol w:w="1296"/>
        <w:gridCol w:w="1296"/>
        <w:gridCol w:w="1847"/>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847"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YOGESH K. GUPTA</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Yogesh K. Gupta</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ANTHONY FOLGER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Anthony Folger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DOMENIC LOCOCO</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Domenic LoCoco</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and Chief Accounting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31.1 </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 Yogesh K. Gupta, certify that: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1. I have reviewed this Quarterly Report on Form 10-Q of Progress Software Corporation;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 Designed such disclosure controls and procedures, or caused such disclosure control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5. The registrant’s other certifying officer and I have disclosed, based on our most recent evaluation of internal control over financial reporting, to the registrant’s auditors and the audit committee of registrant’s board of directors (or persons performing the equivalent function):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 September 30, 2026 </w:t>
      </w:r>
    </w:p>
    <w:p>
      <w:pPr>
        <w:pStyle w:val="TextBody"/>
        <w:bidi w:val="0"/>
        <w:spacing w:before="0" w:after="0"/>
        <w:jc w:val="left"/>
        <w:rPr/>
      </w:pPr>
      <w:r>
        <w:rPr/>
      </w:r>
    </w:p>
    <w:p>
      <w:pPr>
        <w:pStyle w:val="TextBody"/>
        <w:bidi w:val="0"/>
        <w:spacing w:before="0" w:after="0"/>
        <w:jc w:val="left"/>
        <w:rPr/>
      </w:pPr>
      <w:r>
        <w:rPr/>
      </w:r>
    </w:p>
    <w:tbl>
      <w:tblPr>
        <w:tblW w:w="3224" w:type="dxa"/>
        <w:jc w:val="left"/>
        <w:tblInd w:w="0" w:type="dxa"/>
        <w:tblLayout w:type="fixed"/>
        <w:tblCellMar>
          <w:top w:w="28" w:type="dxa"/>
          <w:left w:w="28" w:type="dxa"/>
          <w:bottom w:w="28" w:type="dxa"/>
          <w:right w:w="28" w:type="dxa"/>
        </w:tblCellMar>
      </w:tblPr>
      <w:tblGrid>
        <w:gridCol w:w="1033"/>
        <w:gridCol w:w="907"/>
        <w:gridCol w:w="1284"/>
      </w:tblGrid>
      <w:tr>
        <w:trPr/>
        <w:tc>
          <w:tcPr>
            <w:tcW w:w="1033"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YOGESH K. GUPTA</w:t>
            </w:r>
          </w:p>
        </w:tc>
      </w:tr>
      <w:tr>
        <w:trPr/>
        <w:tc>
          <w:tcPr>
            <w:tcW w:w="3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Yogesh K. Gupta</w:t>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before="0" w:after="10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31.2 </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 Anthony Folger, certify that: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1. I have reviewed this Quarterly Report on Form 10-Q of Progress Software Corporation;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 Designed such disclosure controls and procedures, or caused such disclosure control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5. The registrant’s other certifying officer and I have disclosed, based on our most recent evaluation of internal control over financial reporting, to the registrant’s auditors and the audit committee of registrant’s board of directors (or persons performing the equivalent function):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 September 30, 2026 </w:t>
      </w:r>
    </w:p>
    <w:p>
      <w:pPr>
        <w:pStyle w:val="TextBody"/>
        <w:bidi w:val="0"/>
        <w:spacing w:before="0" w:after="0"/>
        <w:jc w:val="left"/>
        <w:rPr/>
      </w:pPr>
      <w:r>
        <w:rPr/>
      </w:r>
    </w:p>
    <w:tbl>
      <w:tblPr>
        <w:tblW w:w="4455" w:type="dxa"/>
        <w:jc w:val="left"/>
        <w:tblInd w:w="0" w:type="dxa"/>
        <w:tblLayout w:type="fixed"/>
        <w:tblCellMar>
          <w:top w:w="28" w:type="dxa"/>
          <w:left w:w="28" w:type="dxa"/>
          <w:bottom w:w="28" w:type="dxa"/>
          <w:right w:w="28" w:type="dxa"/>
        </w:tblCellMar>
      </w:tblPr>
      <w:tblGrid>
        <w:gridCol w:w="1425"/>
        <w:gridCol w:w="1249"/>
        <w:gridCol w:w="1781"/>
      </w:tblGrid>
      <w:tr>
        <w:trPr/>
        <w:tc>
          <w:tcPr>
            <w:tcW w:w="1425"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ANTHONY FOLGER</w:t>
            </w:r>
          </w:p>
        </w:tc>
      </w:tr>
      <w:tr>
        <w:trPr/>
        <w:tc>
          <w:tcPr>
            <w:tcW w:w="4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Anthony Folger</w:t>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10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32.1 </w:t>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Certification Pursuant To 18 U.S.C. Section 1350, As Adopted Pursuant To Section 906 of the Sarbanes-Oxley Act of 2002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Quarterly Report on Form 10-Q of Progress Software Corporation (the "Company") for the three months ended August 31, 2026, as filed with the Securities and Exchange Commission on the date hereof (the "Report"), each of the undersigned, Yogesh K. Gupta, President and Chief Executive Officer, and Anthony Folger, Executive Vice President and Chief Financial Officer, of the Company, certifies, to the best knowledge and belief of the signatory, pursuant to 18 U.S.C. Section 1350, as adopted pursuant to Section 906 of the Sarbanes-Oxley Act of 2002, that: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1. The Report fully complies with the requirements of Section 13(a) or 15(d) of the Securities Exchange Act of 1934; and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2. The information contained in the Report fairly presents, in all material respects, the financial condition and results of operations of the Company. </w:t>
      </w:r>
    </w:p>
    <w:tbl>
      <w:tblPr>
        <w:tblW w:w="8109" w:type="dxa"/>
        <w:jc w:val="right"/>
        <w:tblInd w:w="0" w:type="dxa"/>
        <w:tblLayout w:type="fixed"/>
        <w:tblCellMar>
          <w:top w:w="28" w:type="dxa"/>
          <w:left w:w="28" w:type="dxa"/>
          <w:bottom w:w="28" w:type="dxa"/>
          <w:right w:w="28" w:type="dxa"/>
        </w:tblCellMar>
      </w:tblPr>
      <w:tblGrid>
        <w:gridCol w:w="587"/>
        <w:gridCol w:w="517"/>
        <w:gridCol w:w="517"/>
        <w:gridCol w:w="572"/>
        <w:gridCol w:w="572"/>
        <w:gridCol w:w="580"/>
        <w:gridCol w:w="109"/>
        <w:gridCol w:w="109"/>
        <w:gridCol w:w="109"/>
        <w:gridCol w:w="689"/>
        <w:gridCol w:w="689"/>
        <w:gridCol w:w="689"/>
        <w:gridCol w:w="689"/>
        <w:gridCol w:w="689"/>
        <w:gridCol w:w="992"/>
      </w:tblGrid>
      <w:tr>
        <w:trPr/>
        <w:tc>
          <w:tcPr>
            <w:tcW w:w="58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r>
      <w:tr>
        <w:trPr/>
        <w:tc>
          <w:tcPr>
            <w:tcW w:w="1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YOGESH K. GUPTA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7"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ANTHONY FOLGER</w:t>
            </w:r>
          </w:p>
        </w:tc>
      </w:tr>
      <w:tr>
        <w:trPr/>
        <w:tc>
          <w:tcPr>
            <w:tcW w:w="3345"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r>
        <w:trPr/>
        <w:tc>
          <w:tcPr>
            <w:tcW w:w="1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30, 2026</w:t>
            </w:r>
          </w:p>
        </w:tc>
      </w:tr>
    </w:tbl>
    <w:p>
      <w:pPr>
        <w:pStyle w:val="TextBody"/>
        <w:bidi w:val="0"/>
        <w:spacing w:before="0" w:after="100"/>
        <w:jc w:val="righ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876167/000155278126000390/e26303_ex2-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13640</Words>
  <Characters>75180</Characters>
  <CharactersWithSpaces>87508</CharactersWithSpaces>
  <Paragraphs>2410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