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30846.xml.htm"/>
      <w:bookmarkStart w:id="1" w:name="kswkform4_17912308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Gupta Yogesh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PROGRESS SOFTWARE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 WAYSIDE ROAD,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PROGRESS SOFTWARE CORP /MA</w:t>
              </w:r>
            </w:hyperlink>
            <w:r>
              <w:rPr/>
              <w:t xml:space="preserve"> [ </w:t>
            </w:r>
            <w:r>
              <w:rPr>
                <w:rFonts w:ascii="Times;serif" w:hAnsi="Times;serif"/>
                <w:color w:val="0000FF"/>
                <w:sz w:val="24"/>
                <w:shd w:fill="FFFFFF" w:val="clear"/>
              </w:rPr>
              <w:t>PRGS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927"/>
        <w:gridCol w:w="452"/>
        <w:gridCol w:w="752"/>
        <w:gridCol w:w="1190"/>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7,349</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294,126</w:t>
            </w:r>
            <w:r>
              <w:rPr>
                <w:rFonts w:ascii="Times;serif" w:hAnsi="Times;serif"/>
                <w:color w:val="008000"/>
                <w:position w:val="7"/>
                <w:sz w:val="16"/>
                <w:sz w:val="20"/>
                <w:shd w:fill="FFFFFF" w:val="clear"/>
              </w:rPr>
              <w:t>(2)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3,554</w:t>
            </w:r>
            <w:r>
              <w:rPr>
                <w:rFonts w:ascii="Times;serif" w:hAnsi="Times;serif"/>
                <w:color w:val="008000"/>
                <w:position w:val="7"/>
                <w:sz w:val="16"/>
                <w:sz w:val="20"/>
                <w:shd w:fill="FFFFFF" w:val="clear"/>
              </w:rPr>
              <w:t>(3)</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38.99</w:t>
            </w:r>
          </w:p>
        </w:tc>
        <w:tc>
          <w:tcPr>
            <w:tcW w:w="11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290,572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8,315</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298,887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4,021</w:t>
            </w:r>
            <w:r>
              <w:rPr>
                <w:rFonts w:ascii="Times;serif" w:hAnsi="Times;serif"/>
                <w:color w:val="008000"/>
                <w:position w:val="7"/>
                <w:sz w:val="16"/>
                <w:sz w:val="20"/>
                <w:shd w:fill="FFFFFF" w:val="clear"/>
              </w:rPr>
              <w:t>(4)</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38.99</w:t>
            </w:r>
          </w:p>
        </w:tc>
        <w:tc>
          <w:tcPr>
            <w:tcW w:w="11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294,866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11,579</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306,445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5,599</w:t>
            </w:r>
            <w:r>
              <w:rPr>
                <w:rFonts w:ascii="Times;serif" w:hAnsi="Times;serif"/>
                <w:color w:val="008000"/>
                <w:position w:val="7"/>
                <w:sz w:val="16"/>
                <w:sz w:val="20"/>
                <w:shd w:fill="FFFFFF" w:val="clear"/>
              </w:rPr>
              <w:t>(5)</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38.99</w:t>
            </w:r>
          </w:p>
        </w:tc>
        <w:tc>
          <w:tcPr>
            <w:tcW w:w="11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300,846</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7,349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7,349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7,350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8,315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8,315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24,945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11,579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11,579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57,895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579 shares of common stock acquired by the Reporting Person on March 31, 2026, through Progress Software Corporation's (the "Company")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common stock withheld by the Company to pay the tax withholding obligations of the Reporting Person upon the vesting of restricted stock units granted to the Reporting Person on January 18,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of common stock withheld by the Company to pay the tax withholding obligations of the Reporting Person upon the vesting of restricted stock units granted to the Reporting Person on January 23,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of common stock withheld by the Company to pay the tax withholding obligations of the Reporting Person upon the vesting of restricted stock units granted to the Reporting Person on January 22,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 January 18, 2024, the Reporting Person was granted 44,095 restricted stock units pursuant to the Company's 2008 Stock Option and Incentive Plan (as amended and restated, the "Plan"). The restricted stock units vest in six equal semiannual installments beginning October 1, 2024, subject to the continued employment of the Reporting Person with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On January 23, 2025, the Reporting Person was granted 49,890 restricted stock units pursuant to the Plan. The restricted stock units vest in six equal semiannual installments beginning October 1, 2025, subject to the continued employment of the Reporting Person with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On January 22, 2026, the Reporting Person was granted 69,474 restricted stock units pursuant to the Plan. The restricted stock units vest in six equal semiannual installments beginning October 1, 2026, subject to the continued employment of the Reporting Person with the Company.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YuFan Stephanie Wang,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1277" TargetMode="External"/><Relationship Id="rId5" Type="http://schemas.openxmlformats.org/officeDocument/2006/relationships/hyperlink" Target="http://www.sec.gov/cgi-bin/browse-edgar?action=getcompany&amp;CIK=00008761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950</Words>
  <Characters>5104</Characters>
  <CharactersWithSpaces>5902</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