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769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769735"/>
                    </a:xfrm>
                    <a:prstGeom prst="rect">
                      <a:avLst/>
                    </a:prstGeom>
                    <a:noFill/>
                  </pic:spPr>
                </pic:pic>
              </a:graphicData>
            </a:graphic>
          </wp:anchor>
        </w:drawing>
      </w:r>
    </w:p>
    <w:p>
      <w:pPr>
        <w:spacing w:after="0" w:line="1247" w:lineRule="exact"/>
        <w:rPr>
          <w:sz w:val="24"/>
          <w:szCs w:val="24"/>
          <w:color w:val="auto"/>
        </w:rPr>
      </w:pPr>
    </w:p>
    <w:p>
      <w:pPr>
        <w:sectPr>
          <w:pgSz w:w="11900" w:h="16876"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FOLGER ANTHONY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280"/>
        <w:spacing w:after="0" w:line="384" w:lineRule="auto"/>
        <w:rPr>
          <w:sz w:val="20"/>
          <w:szCs w:val="20"/>
          <w:color w:val="auto"/>
        </w:rPr>
      </w:pPr>
      <w:r>
        <w:rPr>
          <w:rFonts w:ascii="Times New Roman" w:cs="Times New Roman" w:eastAsia="Times New Roman" w:hAnsi="Times New Roman"/>
          <w:sz w:val="16"/>
          <w:szCs w:val="16"/>
          <w:color w:val="0000FF"/>
        </w:rPr>
        <w:t>C/O PROGRESS SOFTWARE CORPORATION 15 WAYSIDE ROAD, SUITE 400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BURLINGTON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01803</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PROGRESS SOFTWARE CORP /MA </w:t>
              </w:r>
            </w:hyperlink>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32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PRGS </w:t>
            </w:r>
            <w:r>
              <w:rPr>
                <w:rFonts w:ascii="Times New Roman" w:cs="Times New Roman" w:eastAsia="Times New Roman" w:hAnsi="Times New Roman"/>
                <w:sz w:val="20"/>
                <w:szCs w:val="20"/>
                <w:color w:val="000000"/>
              </w:rPr>
              <w:t>]</w:t>
            </w:r>
          </w:p>
        </w:tc>
        <w:tc>
          <w:tcPr>
            <w:tcW w:w="5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324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3100" w:type="dxa"/>
            <w:vAlign w:val="bottom"/>
            <w:gridSpan w:val="2"/>
          </w:tcPr>
          <w:p>
            <w:pPr>
              <w:ind w:left="660"/>
              <w:spacing w:after="0" w:line="182" w:lineRule="exact"/>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9"/>
        </w:trPr>
        <w:tc>
          <w:tcPr>
            <w:tcW w:w="3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04/01/2026</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76"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jc w:val="center"/>
              <w:ind w:left="5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rPr>
              <w:t>04/01/2026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2,529</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left="12"/>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51,331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rPr>
              <w:t>04/01/2026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1,122</w:t>
            </w:r>
            <w:r>
              <w:rPr>
                <w:rFonts w:ascii="Times New Roman" w:cs="Times New Roman" w:eastAsia="Times New Roman" w:hAnsi="Times New Roman"/>
                <w:sz w:val="21"/>
                <w:szCs w:val="21"/>
                <w:color w:val="008000"/>
                <w:w w:val="95"/>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50,209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rPr>
              <w:t>04/01/2026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2,464</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left="12"/>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52,673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rPr>
              <w:t>04/01/2026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1,093</w:t>
            </w:r>
            <w:r>
              <w:rPr>
                <w:rFonts w:ascii="Times New Roman" w:cs="Times New Roman" w:eastAsia="Times New Roman" w:hAnsi="Times New Roman"/>
                <w:sz w:val="21"/>
                <w:szCs w:val="21"/>
                <w:color w:val="008000"/>
                <w:w w:val="95"/>
                <w:vertAlign w:val="superscript"/>
              </w:rPr>
              <w:t>(3)</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51,580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rPr>
              <w:t>04/01/2026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3,049</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left="12"/>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54,629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rPr>
              <w:t>04/01/2026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1,353</w:t>
            </w:r>
            <w:r>
              <w:rPr>
                <w:rFonts w:ascii="Times New Roman" w:cs="Times New Roman" w:eastAsia="Times New Roman" w:hAnsi="Times New Roman"/>
                <w:sz w:val="21"/>
                <w:szCs w:val="21"/>
                <w:color w:val="008000"/>
                <w:w w:val="95"/>
                <w:vertAlign w:val="superscript"/>
              </w:rPr>
              <w:t>(4)</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53,276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18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2,529</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2,529</w:t>
            </w: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jc w:val="center"/>
              <w:ind w:left="120"/>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18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2,464</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2,464</w:t>
            </w: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w w:val="95"/>
              </w:rPr>
              <w:t>4,929</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18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3,049</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3,049</w:t>
            </w: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rPr>
              <w:t>12,196</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-2818765</wp:posOffset>
            </wp:positionV>
            <wp:extent cx="29210" cy="282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3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Progress Software Corporation (the "Company") to pay the tax withholding obligations of the Reporting Person upon the vesting of restricted stock units granted to the Reporting Person on January 19, 2023.</w:t>
      </w:r>
    </w:p>
    <w:p>
      <w:pPr>
        <w:spacing w:after="0" w:line="1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Company to pay the tax withholding obligations of the Reporting Person upon the vesting of restricted stock units granted to the Reporting Person on January 18, 2024.</w:t>
      </w:r>
    </w:p>
    <w:p>
      <w:pPr>
        <w:spacing w:after="0" w:line="1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Company to pay the tax withholding obligations of the Reporting Person upon the vesting of restricted stock units granted to the Reporting Person on January 23, 2025.</w:t>
      </w:r>
    </w:p>
    <w:p>
      <w:pPr>
        <w:spacing w:after="0" w:line="1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19, 2023, the Reporting Person was granted 15,173 restricted stock units pursuant to the Company's 2008 Stock Option and Incentive Plan (as amended and restated, the "Plan"). The restricted stock units vest in six equal semiannual installments beginning October 1, 2023, subject to the continued employment of the Reporting Person with the Company.</w:t>
      </w:r>
    </w:p>
    <w:p>
      <w:pPr>
        <w:spacing w:after="0" w:line="1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18, 2024, the Reporting Person was granted 14,785 restricted stock units pursuant to the Plan. The restricted stock units vest in six equal semiannual installments beginning October 1, 2024, subject to the continued employment of the Reporting Person with the Company.</w:t>
      </w:r>
    </w:p>
    <w:p>
      <w:pPr>
        <w:spacing w:after="0" w:line="1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23, 2025, the Reporting Person was granted 18,293 restricted stock units pursuant to the Plan. The restricted stock units vest in six equal semiannual installments beginning October 1, 2025, subject to the continued employment of the Reporting Person with the Company.</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20" w:type="dxa"/>
            <w:vAlign w:val="bottom"/>
          </w:tcPr>
          <w:p>
            <w:pPr>
              <w:spacing w:after="0"/>
              <w:rPr>
                <w:sz w:val="20"/>
                <w:szCs w:val="20"/>
                <w:color w:val="auto"/>
              </w:rPr>
            </w:pPr>
            <w:r>
              <w:rPr>
                <w:rFonts w:ascii="Times New Roman" w:cs="Times New Roman" w:eastAsia="Times New Roman" w:hAnsi="Times New Roman"/>
                <w:sz w:val="17"/>
                <w:szCs w:val="17"/>
                <w:color w:val="0000FF"/>
                <w:w w:val="95"/>
              </w:rPr>
              <w:t>YuFan Stephanie Wang,</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04/03/2026</w:t>
            </w:r>
          </w:p>
        </w:tc>
      </w:tr>
      <w:tr>
        <w:trPr>
          <w:trHeight w:val="20"/>
        </w:trPr>
        <w:tc>
          <w:tcPr>
            <w:tcW w:w="1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ectPr>
          <w:pgSz w:w="11900" w:h="16876"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-8255</wp:posOffset>
            </wp:positionV>
            <wp:extent cx="721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1360" cy="8255"/>
                    </a:xfrm>
                    <a:prstGeom prst="rect">
                      <a:avLst/>
                    </a:prstGeom>
                    <a:noFill/>
                  </pic:spPr>
                </pic:pic>
              </a:graphicData>
            </a:graphic>
          </wp:anchor>
        </w:drawing>
      </w:r>
    </w:p>
    <w:p>
      <w:pPr>
        <w:spacing w:after="0" w:line="4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66737" TargetMode="External"/><Relationship Id="rId14" Type="http://schemas.openxmlformats.org/officeDocument/2006/relationships/hyperlink" Target="http://www.sec.gov/cgi-bin/browse-edgar?action=getcompany&amp;CIK=00008761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2026-04-03T15:20:34Z</dcterms:created>
  <dcterms:modified xsi:type="dcterms:W3CDTF">2026-04-03T15:20:34Z</dcterms:modified>
</cp:coreProperties>
</file>