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80010</wp:posOffset>
            </wp:positionV>
            <wp:extent cx="17145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32"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97790</wp:posOffset>
            </wp:positionV>
            <wp:extent cx="17145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50"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42"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 the quarterly period ended August 31, 2023</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or</w:t>
      </w:r>
    </w:p>
    <w:p>
      <w:pPr>
        <w:ind w:left="680" w:hanging="654"/>
        <w:spacing w:after="0" w:line="185" w:lineRule="auto"/>
        <w:tabs>
          <w:tab w:leader="none" w:pos="680" w:val="left"/>
        </w:tabs>
        <w:numPr>
          <w:ilvl w:val="0"/>
          <w:numId w:val="2"/>
        </w:numPr>
        <w:rPr>
          <w:rFonts w:ascii="MS PGothic" w:cs="MS PGothic" w:eastAsia="MS PGothic" w:hAnsi="MS PGothic"/>
          <w:sz w:val="43"/>
          <w:szCs w:val="43"/>
          <w:color w:val="auto"/>
          <w:vertAlign w:val="subscript"/>
        </w:rPr>
      </w:pPr>
      <w:r>
        <w:rPr>
          <w:rFonts w:ascii="Arial" w:cs="Arial" w:eastAsia="Arial" w:hAnsi="Arial"/>
          <w:sz w:val="16"/>
          <w:szCs w:val="16"/>
          <w:b w:val="1"/>
          <w:bCs w:val="1"/>
          <w:color w:val="auto"/>
        </w:rPr>
        <w:t>TRANSITION REPORT PURSUANT TO SECTION 13 OR 15(d) OF THE SECURITIES EXCHANGE ACT OF 1934</w:t>
      </w:r>
    </w:p>
    <w:p>
      <w:pPr>
        <w:spacing w:after="0" w:line="240" w:lineRule="exact"/>
        <w:rPr>
          <w:sz w:val="24"/>
          <w:szCs w:val="24"/>
          <w:color w:val="auto"/>
        </w:rPr>
      </w:pPr>
    </w:p>
    <w:p>
      <w:pPr>
        <w:ind w:left="4140"/>
        <w:spacing w:after="0"/>
        <w:rPr>
          <w:sz w:val="20"/>
          <w:szCs w:val="20"/>
          <w:color w:val="auto"/>
        </w:rPr>
      </w:pPr>
      <w:r>
        <w:rPr>
          <w:rFonts w:ascii="Arial" w:cs="Arial" w:eastAsia="Arial" w:hAnsi="Arial"/>
          <w:sz w:val="16"/>
          <w:szCs w:val="16"/>
          <w:color w:val="auto"/>
        </w:rPr>
        <w:t>For the transition period from _____to _____.</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0-19417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77470</wp:posOffset>
            </wp:positionV>
            <wp:extent cx="17145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PROGRESS SOFTWARE CORPORATION</w:t>
      </w:r>
    </w:p>
    <w:p>
      <w:pPr>
        <w:spacing w:after="0" w:line="59" w:lineRule="exact"/>
        <w:rPr>
          <w:sz w:val="24"/>
          <w:szCs w:val="24"/>
          <w:color w:val="auto"/>
        </w:rPr>
      </w:pPr>
    </w:p>
    <w:p>
      <w:pPr>
        <w:jc w:val="center"/>
        <w:ind w:right="40"/>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98425</wp:posOffset>
            </wp:positionV>
            <wp:extent cx="17145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310"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jc w:val="center"/>
              <w:ind w:left="1321"/>
              <w:spacing w:after="0"/>
              <w:rPr>
                <w:sz w:val="20"/>
                <w:szCs w:val="20"/>
                <w:color w:val="auto"/>
              </w:rPr>
            </w:pPr>
            <w:r>
              <w:rPr>
                <w:rFonts w:ascii="Arial" w:cs="Arial" w:eastAsia="Arial" w:hAnsi="Arial"/>
                <w:sz w:val="16"/>
                <w:szCs w:val="16"/>
                <w:b w:val="1"/>
                <w:bCs w:val="1"/>
                <w:color w:val="auto"/>
                <w:w w:val="93"/>
              </w:rPr>
              <w:t>Delaware</w:t>
            </w:r>
          </w:p>
        </w:tc>
        <w:tc>
          <w:tcPr>
            <w:tcW w:w="5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300" w:type="dxa"/>
            <w:vAlign w:val="bottom"/>
          </w:tcPr>
          <w:p>
            <w:pPr>
              <w:ind w:left="760"/>
              <w:spacing w:after="0"/>
              <w:rPr>
                <w:sz w:val="20"/>
                <w:szCs w:val="20"/>
                <w:color w:val="auto"/>
              </w:rPr>
            </w:pPr>
            <w:r>
              <w:rPr>
                <w:rFonts w:ascii="Arial" w:cs="Arial" w:eastAsia="Arial" w:hAnsi="Arial"/>
                <w:sz w:val="16"/>
                <w:szCs w:val="16"/>
                <w:b w:val="1"/>
                <w:bCs w:val="1"/>
                <w:color w:val="auto"/>
              </w:rPr>
              <w:t>04-2746201</w:t>
            </w:r>
          </w:p>
        </w:tc>
        <w:tc>
          <w:tcPr>
            <w:tcW w:w="0" w:type="dxa"/>
            <w:vAlign w:val="bottom"/>
          </w:tcPr>
          <w:p>
            <w:pPr>
              <w:spacing w:after="0"/>
              <w:rPr>
                <w:sz w:val="1"/>
                <w:szCs w:val="1"/>
                <w:color w:val="auto"/>
              </w:rPr>
            </w:pPr>
          </w:p>
        </w:tc>
      </w:tr>
      <w:tr>
        <w:trPr>
          <w:trHeight w:val="183"/>
        </w:trPr>
        <w:tc>
          <w:tcPr>
            <w:tcW w:w="7260" w:type="dxa"/>
            <w:vAlign w:val="bottom"/>
            <w:gridSpan w:val="4"/>
          </w:tcPr>
          <w:p>
            <w:pPr>
              <w:jc w:val="center"/>
              <w:ind w:right="2060"/>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3300" w:type="dxa"/>
            <w:vAlign w:val="bottom"/>
          </w:tcPr>
          <w:p>
            <w:pPr>
              <w:ind w:left="120"/>
              <w:spacing w:after="0"/>
              <w:rPr>
                <w:sz w:val="20"/>
                <w:szCs w:val="20"/>
                <w:color w:val="auto"/>
              </w:rPr>
            </w:pPr>
            <w:r>
              <w:rPr>
                <w:rFonts w:ascii="Arial" w:cs="Arial" w:eastAsia="Arial" w:hAnsi="Arial"/>
                <w:sz w:val="14"/>
                <w:szCs w:val="14"/>
                <w:color w:val="auto"/>
              </w:rPr>
              <w:t>(I.R.S. Employer Identification No.)</w:t>
            </w:r>
          </w:p>
        </w:tc>
        <w:tc>
          <w:tcPr>
            <w:tcW w:w="0" w:type="dxa"/>
            <w:vAlign w:val="bottom"/>
          </w:tcPr>
          <w:p>
            <w:pPr>
              <w:spacing w:after="0"/>
              <w:rPr>
                <w:sz w:val="1"/>
                <w:szCs w:val="1"/>
                <w:color w:val="auto"/>
              </w:rPr>
            </w:pPr>
          </w:p>
        </w:tc>
      </w:tr>
      <w:tr>
        <w:trPr>
          <w:trHeight w:val="538"/>
        </w:trPr>
        <w:tc>
          <w:tcPr>
            <w:tcW w:w="3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9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15 Wayside Road, Suite 400</w:t>
            </w: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37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9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Burlington, Massachusetts 01803</w:t>
            </w:r>
          </w:p>
        </w:tc>
        <w:tc>
          <w:tcPr>
            <w:tcW w:w="3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780" w:type="dxa"/>
            <w:vAlign w:val="bottom"/>
          </w:tcPr>
          <w:p>
            <w:pPr>
              <w:spacing w:after="0"/>
              <w:rPr>
                <w:sz w:val="15"/>
                <w:szCs w:val="15"/>
                <w:color w:val="auto"/>
              </w:rPr>
            </w:pPr>
          </w:p>
        </w:tc>
        <w:tc>
          <w:tcPr>
            <w:tcW w:w="3480" w:type="dxa"/>
            <w:vAlign w:val="bottom"/>
            <w:gridSpan w:val="3"/>
          </w:tcPr>
          <w:p>
            <w:pPr>
              <w:jc w:val="center"/>
              <w:ind w:left="126"/>
              <w:spacing w:after="0"/>
              <w:rPr>
                <w:sz w:val="20"/>
                <w:szCs w:val="20"/>
                <w:color w:val="auto"/>
              </w:rPr>
            </w:pPr>
            <w:r>
              <w:rPr>
                <w:rFonts w:ascii="Arial" w:cs="Arial" w:eastAsia="Arial" w:hAnsi="Arial"/>
                <w:sz w:val="14"/>
                <w:szCs w:val="14"/>
                <w:color w:val="auto"/>
                <w:w w:val="95"/>
              </w:rPr>
              <w:t>(Address of principal executive offices) (Zip code)</w:t>
            </w:r>
          </w:p>
        </w:tc>
        <w:tc>
          <w:tcPr>
            <w:tcW w:w="3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5"/>
        </w:trPr>
        <w:tc>
          <w:tcPr>
            <w:tcW w:w="3780" w:type="dxa"/>
            <w:vAlign w:val="bottom"/>
          </w:tcPr>
          <w:p>
            <w:pPr>
              <w:spacing w:after="0"/>
              <w:rPr>
                <w:sz w:val="24"/>
                <w:szCs w:val="24"/>
                <w:color w:val="auto"/>
              </w:rPr>
            </w:pPr>
          </w:p>
        </w:tc>
        <w:tc>
          <w:tcPr>
            <w:tcW w:w="3200" w:type="dxa"/>
            <w:vAlign w:val="bottom"/>
            <w:gridSpan w:val="2"/>
          </w:tcPr>
          <w:p>
            <w:pPr>
              <w:jc w:val="center"/>
              <w:ind w:left="426"/>
              <w:spacing w:after="0"/>
              <w:rPr>
                <w:sz w:val="20"/>
                <w:szCs w:val="20"/>
                <w:color w:val="auto"/>
              </w:rPr>
            </w:pPr>
            <w:r>
              <w:rPr>
                <w:rFonts w:ascii="Arial" w:cs="Arial" w:eastAsia="Arial" w:hAnsi="Arial"/>
                <w:sz w:val="16"/>
                <w:szCs w:val="16"/>
                <w:b w:val="1"/>
                <w:bCs w:val="1"/>
                <w:color w:val="auto"/>
                <w:w w:val="93"/>
              </w:rPr>
              <w:t>(781) 280-4000</w:t>
            </w:r>
          </w:p>
        </w:tc>
        <w:tc>
          <w:tcPr>
            <w:tcW w:w="2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3780" w:type="dxa"/>
            <w:vAlign w:val="bottom"/>
          </w:tcPr>
          <w:p>
            <w:pPr>
              <w:spacing w:after="0"/>
              <w:rPr>
                <w:sz w:val="15"/>
                <w:szCs w:val="15"/>
                <w:color w:val="auto"/>
              </w:rPr>
            </w:pPr>
          </w:p>
        </w:tc>
        <w:tc>
          <w:tcPr>
            <w:tcW w:w="3480" w:type="dxa"/>
            <w:vAlign w:val="bottom"/>
            <w:gridSpan w:val="3"/>
          </w:tcPr>
          <w:p>
            <w:pPr>
              <w:jc w:val="center"/>
              <w:ind w:left="126"/>
              <w:spacing w:after="0"/>
              <w:rPr>
                <w:sz w:val="20"/>
                <w:szCs w:val="20"/>
                <w:color w:val="auto"/>
              </w:rPr>
            </w:pPr>
            <w:r>
              <w:rPr>
                <w:rFonts w:ascii="Arial" w:cs="Arial" w:eastAsia="Arial" w:hAnsi="Arial"/>
                <w:sz w:val="14"/>
                <w:szCs w:val="14"/>
                <w:color w:val="auto"/>
                <w:w w:val="92"/>
              </w:rPr>
              <w:t>(Registrant’s telephone number, including area code)</w:t>
            </w:r>
          </w:p>
        </w:tc>
        <w:tc>
          <w:tcPr>
            <w:tcW w:w="3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9"/>
        </w:trPr>
        <w:tc>
          <w:tcPr>
            <w:tcW w:w="3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9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Not applicable</w:t>
            </w: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3780" w:type="dxa"/>
            <w:vAlign w:val="bottom"/>
          </w:tcPr>
          <w:p>
            <w:pPr>
              <w:spacing w:after="0"/>
              <w:rPr>
                <w:sz w:val="15"/>
                <w:szCs w:val="15"/>
                <w:color w:val="auto"/>
              </w:rPr>
            </w:pPr>
          </w:p>
        </w:tc>
        <w:tc>
          <w:tcPr>
            <w:tcW w:w="6780" w:type="dxa"/>
            <w:vAlign w:val="bottom"/>
            <w:gridSpan w:val="4"/>
          </w:tcPr>
          <w:p>
            <w:pPr>
              <w:jc w:val="center"/>
              <w:ind w:right="3001"/>
              <w:spacing w:after="0"/>
              <w:rPr>
                <w:sz w:val="20"/>
                <w:szCs w:val="20"/>
                <w:color w:val="auto"/>
              </w:rPr>
            </w:pPr>
            <w:r>
              <w:rPr>
                <w:rFonts w:ascii="Arial" w:cs="Arial" w:eastAsia="Arial" w:hAnsi="Arial"/>
                <w:sz w:val="14"/>
                <w:szCs w:val="14"/>
                <w:color w:val="auto"/>
                <w:w w:val="92"/>
              </w:rPr>
              <w:t>(Former name or former address, if changed since last report.)</w:t>
            </w:r>
          </w:p>
        </w:tc>
        <w:tc>
          <w:tcPr>
            <w:tcW w:w="0" w:type="dxa"/>
            <w:vAlign w:val="bottom"/>
          </w:tcPr>
          <w:p>
            <w:pPr>
              <w:spacing w:after="0"/>
              <w:rPr>
                <w:sz w:val="1"/>
                <w:szCs w:val="1"/>
                <w:color w:val="auto"/>
              </w:rPr>
            </w:pPr>
          </w:p>
        </w:tc>
      </w:tr>
      <w:tr>
        <w:trPr>
          <w:trHeight w:val="120"/>
        </w:trPr>
        <w:tc>
          <w:tcPr>
            <w:tcW w:w="3780" w:type="dxa"/>
            <w:vAlign w:val="bottom"/>
            <w:vMerge w:val="restart"/>
          </w:tcPr>
          <w:p>
            <w:pPr>
              <w:spacing w:after="0"/>
              <w:rPr>
                <w:sz w:val="20"/>
                <w:szCs w:val="20"/>
                <w:color w:val="auto"/>
              </w:rPr>
            </w:pPr>
            <w:r>
              <w:rPr>
                <w:rFonts w:ascii="Arial" w:cs="Arial" w:eastAsia="Arial" w:hAnsi="Arial"/>
                <w:sz w:val="16"/>
                <w:szCs w:val="16"/>
                <w:color w:val="auto"/>
                <w:w w:val="92"/>
              </w:rPr>
              <w:t>Securities registered pursuant to Section 12(b) of the Act:</w:t>
            </w:r>
          </w:p>
        </w:tc>
        <w:tc>
          <w:tcPr>
            <w:tcW w:w="500" w:type="dxa"/>
            <w:vAlign w:val="bottom"/>
          </w:tcPr>
          <w:p>
            <w:pPr>
              <w:spacing w:after="0"/>
              <w:rPr>
                <w:sz w:val="10"/>
                <w:szCs w:val="10"/>
                <w:color w:val="auto"/>
              </w:rPr>
            </w:pPr>
          </w:p>
        </w:tc>
        <w:tc>
          <w:tcPr>
            <w:tcW w:w="270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5"/>
        </w:trPr>
        <w:tc>
          <w:tcPr>
            <w:tcW w:w="378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780" w:type="dxa"/>
            <w:vAlign w:val="bottom"/>
          </w:tcPr>
          <w:p>
            <w:pPr>
              <w:jc w:val="center"/>
              <w:ind w:left="361"/>
              <w:spacing w:after="0"/>
              <w:rPr>
                <w:sz w:val="20"/>
                <w:szCs w:val="20"/>
                <w:color w:val="auto"/>
              </w:rPr>
            </w:pPr>
            <w:r>
              <w:rPr>
                <w:rFonts w:ascii="Arial" w:cs="Arial" w:eastAsia="Arial" w:hAnsi="Arial"/>
                <w:sz w:val="16"/>
                <w:szCs w:val="16"/>
                <w:color w:val="auto"/>
                <w:w w:val="92"/>
              </w:rPr>
              <w:t>Title of each class</w:t>
            </w:r>
          </w:p>
        </w:tc>
        <w:tc>
          <w:tcPr>
            <w:tcW w:w="500" w:type="dxa"/>
            <w:vAlign w:val="bottom"/>
          </w:tcPr>
          <w:p>
            <w:pPr>
              <w:spacing w:after="0"/>
              <w:rPr>
                <w:sz w:val="24"/>
                <w:szCs w:val="24"/>
                <w:color w:val="auto"/>
              </w:rPr>
            </w:pPr>
          </w:p>
        </w:tc>
        <w:tc>
          <w:tcPr>
            <w:tcW w:w="2980" w:type="dxa"/>
            <w:vAlign w:val="bottom"/>
            <w:gridSpan w:val="2"/>
          </w:tcPr>
          <w:p>
            <w:pPr>
              <w:jc w:val="center"/>
              <w:ind w:right="320"/>
              <w:spacing w:after="0"/>
              <w:rPr>
                <w:sz w:val="20"/>
                <w:szCs w:val="20"/>
                <w:color w:val="auto"/>
              </w:rPr>
            </w:pPr>
            <w:r>
              <w:rPr>
                <w:rFonts w:ascii="Arial" w:cs="Arial" w:eastAsia="Arial" w:hAnsi="Arial"/>
                <w:sz w:val="16"/>
                <w:szCs w:val="16"/>
                <w:color w:val="auto"/>
                <w:w w:val="93"/>
              </w:rPr>
              <w:t>Trading Symbol(s)</w:t>
            </w:r>
          </w:p>
        </w:tc>
        <w:tc>
          <w:tcPr>
            <w:tcW w:w="3300" w:type="dxa"/>
            <w:vAlign w:val="bottom"/>
          </w:tcPr>
          <w:p>
            <w:pPr>
              <w:ind w:left="440"/>
              <w:spacing w:after="0"/>
              <w:rPr>
                <w:sz w:val="20"/>
                <w:szCs w:val="20"/>
                <w:color w:val="auto"/>
              </w:rPr>
            </w:pPr>
            <w:r>
              <w:rPr>
                <w:rFonts w:ascii="Arial" w:cs="Arial" w:eastAsia="Arial" w:hAnsi="Arial"/>
                <w:sz w:val="16"/>
                <w:szCs w:val="16"/>
                <w:color w:val="auto"/>
                <w:w w:val="89"/>
              </w:rPr>
              <w:t>Name of each exchange on which registered</w:t>
            </w:r>
          </w:p>
        </w:tc>
        <w:tc>
          <w:tcPr>
            <w:tcW w:w="0" w:type="dxa"/>
            <w:vAlign w:val="bottom"/>
          </w:tcPr>
          <w:p>
            <w:pPr>
              <w:spacing w:after="0"/>
              <w:rPr>
                <w:sz w:val="1"/>
                <w:szCs w:val="1"/>
                <w:color w:val="auto"/>
              </w:rPr>
            </w:pPr>
          </w:p>
        </w:tc>
      </w:tr>
      <w:tr>
        <w:trPr>
          <w:trHeight w:val="216"/>
        </w:trPr>
        <w:tc>
          <w:tcPr>
            <w:tcW w:w="3780" w:type="dxa"/>
            <w:vAlign w:val="bottom"/>
          </w:tcPr>
          <w:p>
            <w:pPr>
              <w:jc w:val="center"/>
              <w:ind w:left="361"/>
              <w:spacing w:after="0"/>
              <w:rPr>
                <w:sz w:val="20"/>
                <w:szCs w:val="20"/>
                <w:color w:val="auto"/>
              </w:rPr>
            </w:pPr>
            <w:r>
              <w:rPr>
                <w:rFonts w:ascii="Arial" w:cs="Arial" w:eastAsia="Arial" w:hAnsi="Arial"/>
                <w:sz w:val="16"/>
                <w:szCs w:val="16"/>
                <w:b w:val="1"/>
                <w:bCs w:val="1"/>
                <w:color w:val="auto"/>
                <w:w w:val="91"/>
              </w:rPr>
              <w:t>Common Stock, $0.01 par value per share</w:t>
            </w:r>
          </w:p>
        </w:tc>
        <w:tc>
          <w:tcPr>
            <w:tcW w:w="500" w:type="dxa"/>
            <w:vAlign w:val="bottom"/>
          </w:tcPr>
          <w:p>
            <w:pPr>
              <w:spacing w:after="0"/>
              <w:rPr>
                <w:sz w:val="18"/>
                <w:szCs w:val="18"/>
                <w:color w:val="auto"/>
              </w:rPr>
            </w:pPr>
          </w:p>
        </w:tc>
        <w:tc>
          <w:tcPr>
            <w:tcW w:w="29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6"/>
              </w:rPr>
              <w:t>PRGS</w:t>
            </w:r>
          </w:p>
        </w:tc>
        <w:tc>
          <w:tcPr>
            <w:tcW w:w="3300" w:type="dxa"/>
            <w:vAlign w:val="bottom"/>
          </w:tcPr>
          <w:p>
            <w:pPr>
              <w:ind w:left="780"/>
              <w:spacing w:after="0"/>
              <w:rPr>
                <w:sz w:val="20"/>
                <w:szCs w:val="20"/>
                <w:color w:val="auto"/>
              </w:rPr>
            </w:pPr>
            <w:r>
              <w:rPr>
                <w:rFonts w:ascii="Arial" w:cs="Arial" w:eastAsia="Arial" w:hAnsi="Arial"/>
                <w:sz w:val="16"/>
                <w:szCs w:val="16"/>
                <w:b w:val="1"/>
                <w:bCs w:val="1"/>
                <w:color w:val="auto"/>
              </w:rPr>
              <w:t>The Nasdaq Stock Market LLC</w:t>
            </w:r>
          </w:p>
        </w:tc>
        <w:tc>
          <w:tcPr>
            <w:tcW w:w="0" w:type="dxa"/>
            <w:vAlign w:val="bottom"/>
          </w:tcPr>
          <w:p>
            <w:pPr>
              <w:spacing w:after="0"/>
              <w:rPr>
                <w:sz w:val="1"/>
                <w:szCs w:val="1"/>
                <w:color w:val="auto"/>
              </w:rPr>
            </w:pPr>
          </w:p>
        </w:tc>
      </w:tr>
    </w:tbl>
    <w:p>
      <w:pPr>
        <w:spacing w:after="0" w:line="77" w:lineRule="exact"/>
        <w:rPr>
          <w:sz w:val="24"/>
          <w:szCs w:val="24"/>
          <w:color w:val="auto"/>
        </w:rPr>
      </w:pPr>
    </w:p>
    <w:p>
      <w:pPr>
        <w:spacing w:after="0" w:line="277"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 w:leader="none" w:pos="1120" w:val="left"/>
        </w:tabs>
        <w:rPr>
          <w:sz w:val="20"/>
          <w:szCs w:val="20"/>
          <w:color w:val="auto"/>
        </w:rPr>
      </w:pPr>
      <w:r>
        <w:rPr>
          <w:rFonts w:ascii="Arial" w:cs="Arial" w:eastAsia="Arial" w:hAnsi="Arial"/>
          <w:sz w:val="16"/>
          <w:szCs w:val="16"/>
          <w:color w:val="auto"/>
        </w:rPr>
        <w:t>days.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73" w:lineRule="exact"/>
        <w:rPr>
          <w:sz w:val="24"/>
          <w:szCs w:val="24"/>
          <w:color w:val="auto"/>
        </w:rPr>
      </w:pPr>
    </w:p>
    <w:p>
      <w:pPr>
        <w:ind w:right="400"/>
        <w:spacing w:after="0" w:line="211"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19" w:lineRule="exact"/>
        <w:rPr>
          <w:sz w:val="24"/>
          <w:szCs w:val="24"/>
          <w:color w:val="auto"/>
        </w:rPr>
      </w:pPr>
    </w:p>
    <w:p>
      <w:pPr>
        <w:ind w:right="140"/>
        <w:spacing w:after="0" w:line="26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22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4840" w:type="dxa"/>
            <w:vAlign w:val="bottom"/>
          </w:tcPr>
          <w:p>
            <w:pPr>
              <w:ind w:left="480"/>
              <w:spacing w:after="0" w:line="161" w:lineRule="exact"/>
              <w:rPr>
                <w:sz w:val="20"/>
                <w:szCs w:val="20"/>
                <w:color w:val="auto"/>
              </w:rPr>
            </w:pPr>
            <w:r>
              <w:rPr>
                <w:rFonts w:ascii="MS PGothic" w:cs="MS PGothic" w:eastAsia="MS PGothic" w:hAnsi="MS PGothic"/>
                <w:sz w:val="16"/>
                <w:szCs w:val="16"/>
                <w:color w:val="auto"/>
              </w:rPr>
              <w:t>☒</w:t>
            </w:r>
          </w:p>
        </w:tc>
        <w:tc>
          <w:tcPr>
            <w:tcW w:w="3200" w:type="dxa"/>
            <w:vAlign w:val="bottom"/>
          </w:tcPr>
          <w:p>
            <w:pPr>
              <w:ind w:left="1000"/>
              <w:spacing w:after="0"/>
              <w:rPr>
                <w:sz w:val="20"/>
                <w:szCs w:val="20"/>
                <w:color w:val="auto"/>
              </w:rPr>
            </w:pPr>
            <w:r>
              <w:rPr>
                <w:rFonts w:ascii="Arial" w:cs="Arial" w:eastAsia="Arial" w:hAnsi="Arial"/>
                <w:sz w:val="16"/>
                <w:szCs w:val="16"/>
                <w:color w:val="auto"/>
              </w:rPr>
              <w:t>Accelerated filer</w:t>
            </w:r>
          </w:p>
        </w:tc>
        <w:tc>
          <w:tcPr>
            <w:tcW w:w="600" w:type="dxa"/>
            <w:vAlign w:val="bottom"/>
          </w:tcPr>
          <w:p>
            <w:pPr>
              <w:ind w:left="4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0"/>
        </w:trPr>
        <w:tc>
          <w:tcPr>
            <w:tcW w:w="2260" w:type="dxa"/>
            <w:vAlign w:val="bottom"/>
          </w:tcPr>
          <w:p>
            <w:pPr>
              <w:spacing w:after="0"/>
              <w:rPr>
                <w:sz w:val="20"/>
                <w:szCs w:val="20"/>
                <w:color w:val="auto"/>
              </w:rPr>
            </w:pPr>
            <w:r>
              <w:rPr>
                <w:rFonts w:ascii="Arial" w:cs="Arial" w:eastAsia="Arial" w:hAnsi="Arial"/>
                <w:sz w:val="16"/>
                <w:szCs w:val="16"/>
                <w:color w:val="auto"/>
              </w:rPr>
              <w:t>Non-accelerated filer</w:t>
            </w:r>
          </w:p>
        </w:tc>
        <w:tc>
          <w:tcPr>
            <w:tcW w:w="4840" w:type="dxa"/>
            <w:vAlign w:val="bottom"/>
          </w:tcPr>
          <w:p>
            <w:pPr>
              <w:ind w:left="48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tc>
        <w:tc>
          <w:tcPr>
            <w:tcW w:w="3200" w:type="dxa"/>
            <w:vAlign w:val="bottom"/>
          </w:tcPr>
          <w:p>
            <w:pPr>
              <w:ind w:left="1000"/>
              <w:spacing w:after="0"/>
              <w:rPr>
                <w:sz w:val="20"/>
                <w:szCs w:val="20"/>
                <w:color w:val="auto"/>
              </w:rPr>
            </w:pPr>
            <w:r>
              <w:rPr>
                <w:rFonts w:ascii="Arial" w:cs="Arial" w:eastAsia="Arial" w:hAnsi="Arial"/>
                <w:sz w:val="16"/>
                <w:szCs w:val="16"/>
                <w:color w:val="auto"/>
              </w:rPr>
              <w:t>Smaller reporting company</w:t>
            </w:r>
          </w:p>
        </w:tc>
        <w:tc>
          <w:tcPr>
            <w:tcW w:w="600" w:type="dxa"/>
            <w:vAlign w:val="bottom"/>
          </w:tcPr>
          <w:p>
            <w:pPr>
              <w:ind w:left="4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0"/>
        </w:trPr>
        <w:tc>
          <w:tcPr>
            <w:tcW w:w="226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4840" w:type="dxa"/>
            <w:vAlign w:val="bottom"/>
          </w:tcPr>
          <w:p>
            <w:pPr>
              <w:ind w:left="480"/>
              <w:spacing w:after="0" w:line="161" w:lineRule="exact"/>
              <w:rPr>
                <w:sz w:val="20"/>
                <w:szCs w:val="20"/>
                <w:color w:val="auto"/>
              </w:rPr>
            </w:pPr>
            <w:r>
              <w:rPr>
                <w:rFonts w:ascii="MS PGothic" w:cs="MS PGothic" w:eastAsia="MS PGothic" w:hAnsi="MS PGothic"/>
                <w:sz w:val="16"/>
                <w:szCs w:val="16"/>
                <w:color w:val="auto"/>
              </w:rPr>
              <w:t>☐</w:t>
            </w:r>
          </w:p>
        </w:tc>
        <w:tc>
          <w:tcPr>
            <w:tcW w:w="320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pacing w:after="0" w:line="308" w:lineRule="exact"/>
        <w:rPr>
          <w:sz w:val="24"/>
          <w:szCs w:val="24"/>
          <w:color w:val="auto"/>
        </w:rPr>
      </w:pPr>
    </w:p>
    <w:p>
      <w:pPr>
        <w:ind w:right="580"/>
        <w:spacing w:after="0" w:line="21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7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7" w:lineRule="exact"/>
        <w:rPr>
          <w:sz w:val="24"/>
          <w:szCs w:val="24"/>
          <w:color w:val="auto"/>
        </w:rPr>
      </w:pPr>
    </w:p>
    <w:p>
      <w:pPr>
        <w:spacing w:after="0"/>
        <w:rPr>
          <w:sz w:val="20"/>
          <w:szCs w:val="20"/>
          <w:color w:val="auto"/>
        </w:rPr>
      </w:pPr>
      <w:r>
        <w:rPr>
          <w:rFonts w:ascii="Arial" w:cs="Arial" w:eastAsia="Arial" w:hAnsi="Arial"/>
          <w:sz w:val="16"/>
          <w:szCs w:val="16"/>
          <w:color w:val="auto"/>
        </w:rPr>
        <w:t>As of September 26, 2023, there were 43,565,346 shares of the registrant’s common stock, $.01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553720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PROGRESS SOFTWARE 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AUGUST 31, 2023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 w:type="dxa"/>
            <w:vAlign w:val="bottom"/>
          </w:tcPr>
          <w:p>
            <w:pPr>
              <w:ind w:left="40"/>
              <w:spacing w:after="0"/>
              <w:rPr>
                <w:sz w:val="20"/>
                <w:szCs w:val="20"/>
                <w:color w:val="auto"/>
              </w:rPr>
            </w:pPr>
            <w:r>
              <w:rPr>
                <w:rFonts w:ascii="Arial" w:cs="Arial" w:eastAsia="Arial" w:hAnsi="Arial"/>
                <w:sz w:val="18"/>
                <w:szCs w:val="18"/>
                <w:b w:val="1"/>
                <w:bCs w:val="1"/>
                <w:color w:val="auto"/>
              </w:rPr>
              <w:t>PART I</w:t>
            </w:r>
          </w:p>
        </w:tc>
        <w:tc>
          <w:tcPr>
            <w:tcW w:w="9700" w:type="dxa"/>
            <w:vAlign w:val="bottom"/>
            <w:gridSpan w:val="18"/>
          </w:tcPr>
          <w:p>
            <w:pPr>
              <w:spacing w:after="0"/>
              <w:rPr>
                <w:sz w:val="20"/>
                <w:szCs w:val="20"/>
                <w:color w:val="auto"/>
              </w:rPr>
            </w:pPr>
            <w:r>
              <w:rPr>
                <w:rFonts w:ascii="Arial" w:cs="Arial" w:eastAsia="Arial" w:hAnsi="Arial"/>
                <w:sz w:val="18"/>
                <w:szCs w:val="18"/>
                <w:b w:val="1"/>
                <w:bCs w:val="1"/>
                <w:color w:val="0000FF"/>
              </w:rPr>
              <w:t>FINANCIAL INFORMATION</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79"/>
        </w:trPr>
        <w:tc>
          <w:tcPr>
            <w:tcW w:w="980" w:type="dxa"/>
            <w:vAlign w:val="bottom"/>
          </w:tcPr>
          <w:p>
            <w:pPr>
              <w:ind w:left="40"/>
              <w:spacing w:after="0"/>
              <w:rPr>
                <w:sz w:val="20"/>
                <w:szCs w:val="20"/>
                <w:color w:val="auto"/>
              </w:rPr>
            </w:pPr>
            <w:r>
              <w:rPr>
                <w:rFonts w:ascii="Arial" w:cs="Arial" w:eastAsia="Arial" w:hAnsi="Arial"/>
                <w:sz w:val="18"/>
                <w:szCs w:val="18"/>
                <w:color w:val="auto"/>
              </w:rPr>
              <w:t>Item 1.</w:t>
            </w:r>
          </w:p>
        </w:tc>
        <w:tc>
          <w:tcPr>
            <w:tcW w:w="2380" w:type="dxa"/>
            <w:vAlign w:val="bottom"/>
            <w:gridSpan w:val="9"/>
          </w:tcPr>
          <w:p>
            <w:pPr>
              <w:spacing w:after="0"/>
              <w:rPr>
                <w:sz w:val="20"/>
                <w:szCs w:val="20"/>
                <w:color w:val="auto"/>
              </w:rPr>
            </w:pPr>
            <w:r>
              <w:rPr>
                <w:rFonts w:ascii="Arial" w:cs="Arial" w:eastAsia="Arial" w:hAnsi="Arial"/>
                <w:sz w:val="18"/>
                <w:szCs w:val="18"/>
                <w:color w:val="0000FF"/>
                <w:w w:val="87"/>
              </w:rPr>
              <w:t>Financial Statements (Unaudited)</w:t>
            </w:r>
          </w:p>
        </w:tc>
        <w:tc>
          <w:tcPr>
            <w:tcW w:w="7320" w:type="dxa"/>
            <w:vAlign w:val="bottom"/>
            <w:gridSpan w:val="9"/>
          </w:tcPr>
          <w:p>
            <w:pPr>
              <w:spacing w:after="0"/>
              <w:rPr>
                <w:sz w:val="24"/>
                <w:szCs w:val="24"/>
                <w:color w:val="auto"/>
              </w:rPr>
            </w:pPr>
          </w:p>
        </w:tc>
        <w:tc>
          <w:tcPr>
            <w:tcW w:w="560" w:type="dxa"/>
            <w:vAlign w:val="bottom"/>
            <w:gridSpan w:val="4"/>
          </w:tcPr>
          <w:p>
            <w:pPr>
              <w:jc w:val="right"/>
              <w:ind w:right="40"/>
              <w:spacing w:after="0"/>
              <w:rPr>
                <w:sz w:val="20"/>
                <w:szCs w:val="20"/>
                <w:color w:val="auto"/>
              </w:rPr>
            </w:pPr>
            <w:r>
              <w:rPr>
                <w:rFonts w:ascii="Arial" w:cs="Arial" w:eastAsia="Arial" w:hAnsi="Arial"/>
                <w:sz w:val="18"/>
                <w:szCs w:val="18"/>
                <w:color w:val="0000FF"/>
              </w:rPr>
              <w:t>3</w:t>
            </w:r>
          </w:p>
        </w:tc>
      </w:tr>
      <w:tr>
        <w:trPr>
          <w:trHeight w:val="20"/>
        </w:trPr>
        <w:tc>
          <w:tcPr>
            <w:tcW w:w="9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2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500" w:type="dxa"/>
            <w:vAlign w:val="bottom"/>
            <w:gridSpan w:val="17"/>
          </w:tcPr>
          <w:p>
            <w:pPr>
              <w:spacing w:after="0"/>
              <w:rPr>
                <w:sz w:val="20"/>
                <w:szCs w:val="20"/>
                <w:color w:val="auto"/>
              </w:rPr>
            </w:pPr>
            <w:r>
              <w:rPr>
                <w:rFonts w:ascii="Arial" w:cs="Arial" w:eastAsia="Arial" w:hAnsi="Arial"/>
                <w:sz w:val="18"/>
                <w:szCs w:val="18"/>
                <w:color w:val="0000FF"/>
              </w:rPr>
              <w:t>Condensed Consolidated Balance Sheets as of August 31, 2023 and November 30, 2022</w:t>
            </w:r>
          </w:p>
        </w:tc>
        <w:tc>
          <w:tcPr>
            <w:tcW w:w="560" w:type="dxa"/>
            <w:vAlign w:val="bottom"/>
            <w:gridSpan w:val="4"/>
          </w:tcPr>
          <w:p>
            <w:pPr>
              <w:jc w:val="right"/>
              <w:ind w:right="40"/>
              <w:spacing w:after="0"/>
              <w:rPr>
                <w:sz w:val="20"/>
                <w:szCs w:val="20"/>
                <w:color w:val="auto"/>
              </w:rPr>
            </w:pPr>
            <w:r>
              <w:rPr>
                <w:rFonts w:ascii="Arial" w:cs="Arial" w:eastAsia="Arial" w:hAnsi="Arial"/>
                <w:sz w:val="18"/>
                <w:szCs w:val="18"/>
                <w:color w:val="0000FF"/>
              </w:rPr>
              <w:t>3</w:t>
            </w: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1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500" w:type="dxa"/>
            <w:vAlign w:val="bottom"/>
            <w:gridSpan w:val="17"/>
          </w:tcPr>
          <w:p>
            <w:pPr>
              <w:spacing w:after="0"/>
              <w:rPr>
                <w:sz w:val="20"/>
                <w:szCs w:val="20"/>
                <w:color w:val="auto"/>
              </w:rPr>
            </w:pPr>
            <w:r>
              <w:rPr>
                <w:rFonts w:ascii="Arial" w:cs="Arial" w:eastAsia="Arial" w:hAnsi="Arial"/>
                <w:sz w:val="18"/>
                <w:szCs w:val="18"/>
                <w:color w:val="0000FF"/>
              </w:rPr>
              <w:t>Condensed Consolidated Statements of Operations for the three and nine months ended August 31, 2023 and 2022</w:t>
            </w:r>
          </w:p>
        </w:tc>
        <w:tc>
          <w:tcPr>
            <w:tcW w:w="560" w:type="dxa"/>
            <w:vAlign w:val="bottom"/>
            <w:gridSpan w:val="4"/>
          </w:tcPr>
          <w:p>
            <w:pPr>
              <w:jc w:val="right"/>
              <w:ind w:right="40"/>
              <w:spacing w:after="0"/>
              <w:rPr>
                <w:sz w:val="20"/>
                <w:szCs w:val="20"/>
                <w:color w:val="auto"/>
              </w:rPr>
            </w:pPr>
            <w:r>
              <w:rPr>
                <w:rFonts w:ascii="Arial" w:cs="Arial" w:eastAsia="Arial" w:hAnsi="Arial"/>
                <w:sz w:val="18"/>
                <w:szCs w:val="18"/>
                <w:color w:val="0000FF"/>
              </w:rPr>
              <w:t>4</w:t>
            </w: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500" w:type="dxa"/>
            <w:vAlign w:val="bottom"/>
            <w:gridSpan w:val="17"/>
          </w:tcPr>
          <w:p>
            <w:pPr>
              <w:spacing w:after="0"/>
              <w:rPr>
                <w:sz w:val="20"/>
                <w:szCs w:val="20"/>
                <w:color w:val="auto"/>
              </w:rPr>
            </w:pPr>
            <w:r>
              <w:rPr>
                <w:rFonts w:ascii="Arial" w:cs="Arial" w:eastAsia="Arial" w:hAnsi="Arial"/>
                <w:sz w:val="18"/>
                <w:szCs w:val="18"/>
                <w:color w:val="0000FF"/>
                <w:w w:val="92"/>
              </w:rPr>
              <w:t>Condensed Consolidated Statements of Comprehensive Income for the three and nine months ended August 31, 2023 and 2022</w:t>
            </w:r>
          </w:p>
        </w:tc>
        <w:tc>
          <w:tcPr>
            <w:tcW w:w="560" w:type="dxa"/>
            <w:vAlign w:val="bottom"/>
            <w:gridSpan w:val="4"/>
          </w:tcPr>
          <w:p>
            <w:pPr>
              <w:jc w:val="right"/>
              <w:ind w:right="40"/>
              <w:spacing w:after="0"/>
              <w:rPr>
                <w:sz w:val="20"/>
                <w:szCs w:val="20"/>
                <w:color w:val="auto"/>
              </w:rPr>
            </w:pPr>
            <w:r>
              <w:rPr>
                <w:rFonts w:ascii="Arial" w:cs="Arial" w:eastAsia="Arial" w:hAnsi="Arial"/>
                <w:sz w:val="18"/>
                <w:szCs w:val="18"/>
                <w:color w:val="0000FF"/>
              </w:rPr>
              <w:t>5</w:t>
            </w: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160" w:type="dxa"/>
            <w:vAlign w:val="bottom"/>
            <w:gridSpan w:val="16"/>
          </w:tcPr>
          <w:p>
            <w:pPr>
              <w:spacing w:after="0"/>
              <w:rPr>
                <w:sz w:val="20"/>
                <w:szCs w:val="20"/>
                <w:color w:val="auto"/>
              </w:rPr>
            </w:pPr>
            <w:r>
              <w:rPr>
                <w:rFonts w:ascii="Arial" w:cs="Arial" w:eastAsia="Arial" w:hAnsi="Arial"/>
                <w:sz w:val="18"/>
                <w:szCs w:val="18"/>
                <w:color w:val="0000FF"/>
                <w:w w:val="91"/>
              </w:rPr>
              <w:t>Condensed Consolidated Statements of Stockholders' Equity for the three and nine months ended August 31, 2023 and 2022</w:t>
            </w:r>
          </w:p>
        </w:tc>
        <w:tc>
          <w:tcPr>
            <w:tcW w:w="340" w:type="dxa"/>
            <w:vAlign w:val="bottom"/>
          </w:tcPr>
          <w:p>
            <w:pPr>
              <w:spacing w:after="0"/>
              <w:rPr>
                <w:sz w:val="18"/>
                <w:szCs w:val="18"/>
                <w:color w:val="auto"/>
              </w:rPr>
            </w:pPr>
          </w:p>
        </w:tc>
        <w:tc>
          <w:tcPr>
            <w:tcW w:w="560" w:type="dxa"/>
            <w:vAlign w:val="bottom"/>
            <w:gridSpan w:val="4"/>
          </w:tcPr>
          <w:p>
            <w:pPr>
              <w:jc w:val="right"/>
              <w:ind w:right="40"/>
              <w:spacing w:after="0"/>
              <w:rPr>
                <w:sz w:val="20"/>
                <w:szCs w:val="20"/>
                <w:color w:val="auto"/>
              </w:rPr>
            </w:pPr>
            <w:r>
              <w:rPr>
                <w:rFonts w:ascii="Arial" w:cs="Arial" w:eastAsia="Arial" w:hAnsi="Arial"/>
                <w:sz w:val="18"/>
                <w:szCs w:val="18"/>
                <w:color w:val="0000FF"/>
              </w:rPr>
              <w:t>6</w:t>
            </w: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40" w:type="dxa"/>
            <w:vAlign w:val="bottom"/>
            <w:gridSpan w:val="14"/>
          </w:tcPr>
          <w:p>
            <w:pPr>
              <w:spacing w:after="0"/>
              <w:rPr>
                <w:sz w:val="20"/>
                <w:szCs w:val="20"/>
                <w:color w:val="auto"/>
              </w:rPr>
            </w:pPr>
            <w:r>
              <w:rPr>
                <w:rFonts w:ascii="Arial" w:cs="Arial" w:eastAsia="Arial" w:hAnsi="Arial"/>
                <w:sz w:val="18"/>
                <w:szCs w:val="18"/>
                <w:color w:val="0000FF"/>
                <w:w w:val="88"/>
              </w:rPr>
              <w:t>Condensed Consolidated Statements of Cash Flows for the three and nine months ended August 31, 2023 and 2022</w:t>
            </w:r>
          </w:p>
        </w:tc>
        <w:tc>
          <w:tcPr>
            <w:tcW w:w="700" w:type="dxa"/>
            <w:vAlign w:val="bottom"/>
          </w:tcPr>
          <w:p>
            <w:pPr>
              <w:spacing w:after="0"/>
              <w:rPr>
                <w:sz w:val="18"/>
                <w:szCs w:val="18"/>
                <w:color w:val="auto"/>
              </w:rPr>
            </w:pPr>
          </w:p>
        </w:tc>
        <w:tc>
          <w:tcPr>
            <w:tcW w:w="560" w:type="dxa"/>
            <w:vAlign w:val="bottom"/>
            <w:gridSpan w:val="2"/>
          </w:tcPr>
          <w:p>
            <w:pPr>
              <w:spacing w:after="0"/>
              <w:rPr>
                <w:sz w:val="18"/>
                <w:szCs w:val="18"/>
                <w:color w:val="auto"/>
              </w:rPr>
            </w:pPr>
          </w:p>
        </w:tc>
        <w:tc>
          <w:tcPr>
            <w:tcW w:w="560" w:type="dxa"/>
            <w:vAlign w:val="bottom"/>
            <w:gridSpan w:val="4"/>
          </w:tcPr>
          <w:p>
            <w:pPr>
              <w:jc w:val="right"/>
              <w:ind w:right="40"/>
              <w:spacing w:after="0"/>
              <w:rPr>
                <w:sz w:val="20"/>
                <w:szCs w:val="20"/>
                <w:color w:val="auto"/>
              </w:rPr>
            </w:pPr>
            <w:r>
              <w:rPr>
                <w:rFonts w:ascii="Arial" w:cs="Arial" w:eastAsia="Arial" w:hAnsi="Arial"/>
                <w:sz w:val="18"/>
                <w:szCs w:val="18"/>
                <w:color w:val="0000FF"/>
              </w:rPr>
              <w:t>8</w:t>
            </w: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88"/>
              </w:rPr>
              <w:t>Notes to Condensed Consolidated Financial Statements</w:t>
            </w:r>
          </w:p>
        </w:tc>
        <w:tc>
          <w:tcPr>
            <w:tcW w:w="4240" w:type="dxa"/>
            <w:vAlign w:val="bottom"/>
            <w:gridSpan w:val="5"/>
          </w:tcPr>
          <w:p>
            <w:pPr>
              <w:spacing w:after="0"/>
              <w:rPr>
                <w:sz w:val="18"/>
                <w:szCs w:val="18"/>
                <w:color w:val="auto"/>
              </w:rPr>
            </w:pPr>
          </w:p>
        </w:tc>
        <w:tc>
          <w:tcPr>
            <w:tcW w:w="1260" w:type="dxa"/>
            <w:vAlign w:val="bottom"/>
            <w:gridSpan w:val="3"/>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10</w:t>
            </w:r>
          </w:p>
        </w:tc>
        <w:tc>
          <w:tcPr>
            <w:tcW w:w="40" w:type="dxa"/>
            <w:vAlign w:val="bottom"/>
          </w:tcPr>
          <w:p>
            <w:pPr>
              <w:spacing w:after="0"/>
              <w:rPr>
                <w:sz w:val="18"/>
                <w:szCs w:val="18"/>
                <w:color w:val="auto"/>
              </w:rPr>
            </w:pPr>
          </w:p>
        </w:tc>
      </w:tr>
      <w:tr>
        <w:trPr>
          <w:trHeight w:val="210"/>
        </w:trPr>
        <w:tc>
          <w:tcPr>
            <w:tcW w:w="980" w:type="dxa"/>
            <w:vAlign w:val="bottom"/>
          </w:tcPr>
          <w:p>
            <w:pPr>
              <w:ind w:left="40"/>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90"/>
              </w:rPr>
              <w:t>Management’s Discussion and Analysis of Financial Condition and Results of Operations</w:t>
            </w:r>
          </w:p>
        </w:tc>
        <w:tc>
          <w:tcPr>
            <w:tcW w:w="3240" w:type="dxa"/>
            <w:vAlign w:val="bottom"/>
            <w:gridSpan w:val="5"/>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21</w:t>
            </w:r>
          </w:p>
        </w:tc>
        <w:tc>
          <w:tcPr>
            <w:tcW w:w="40" w:type="dxa"/>
            <w:vAlign w:val="bottom"/>
          </w:tcPr>
          <w:p>
            <w:pPr>
              <w:spacing w:after="0"/>
              <w:rPr>
                <w:sz w:val="18"/>
                <w:szCs w:val="18"/>
                <w:color w:val="auto"/>
              </w:rPr>
            </w:pPr>
          </w:p>
        </w:tc>
      </w:tr>
      <w:tr>
        <w:trPr>
          <w:trHeight w:val="209"/>
        </w:trPr>
        <w:tc>
          <w:tcPr>
            <w:tcW w:w="980" w:type="dxa"/>
            <w:vAlign w:val="bottom"/>
          </w:tcPr>
          <w:p>
            <w:pPr>
              <w:ind w:left="40"/>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2"/>
              </w:rPr>
              <w:t>Quantitative and Qualitative Disclosures About Market Risk</w:t>
            </w:r>
          </w:p>
        </w:tc>
        <w:tc>
          <w:tcPr>
            <w:tcW w:w="5340" w:type="dxa"/>
            <w:vAlign w:val="bottom"/>
            <w:gridSpan w:val="6"/>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34</w:t>
            </w:r>
          </w:p>
        </w:tc>
        <w:tc>
          <w:tcPr>
            <w:tcW w:w="40" w:type="dxa"/>
            <w:vAlign w:val="bottom"/>
          </w:tcPr>
          <w:p>
            <w:pPr>
              <w:spacing w:after="0"/>
              <w:rPr>
                <w:sz w:val="18"/>
                <w:szCs w:val="18"/>
                <w:color w:val="auto"/>
              </w:rPr>
            </w:pPr>
          </w:p>
        </w:tc>
      </w:tr>
      <w:tr>
        <w:trPr>
          <w:trHeight w:val="210"/>
        </w:trPr>
        <w:tc>
          <w:tcPr>
            <w:tcW w:w="980" w:type="dxa"/>
            <w:vAlign w:val="bottom"/>
          </w:tcPr>
          <w:p>
            <w:pPr>
              <w:ind w:left="40"/>
              <w:spacing w:after="0"/>
              <w:rPr>
                <w:sz w:val="20"/>
                <w:szCs w:val="20"/>
                <w:color w:val="auto"/>
              </w:rPr>
            </w:pPr>
            <w:r>
              <w:rPr>
                <w:rFonts w:ascii="Arial" w:cs="Arial" w:eastAsia="Arial" w:hAnsi="Arial"/>
                <w:sz w:val="18"/>
                <w:szCs w:val="18"/>
                <w:color w:val="auto"/>
              </w:rPr>
              <w:t>Item 4.</w:t>
            </w:r>
          </w:p>
        </w:tc>
        <w:tc>
          <w:tcPr>
            <w:tcW w:w="9700" w:type="dxa"/>
            <w:vAlign w:val="bottom"/>
            <w:gridSpan w:val="18"/>
          </w:tcPr>
          <w:p>
            <w:pPr>
              <w:spacing w:after="0"/>
              <w:rPr>
                <w:sz w:val="20"/>
                <w:szCs w:val="20"/>
                <w:color w:val="auto"/>
              </w:rPr>
            </w:pPr>
            <w:r>
              <w:rPr>
                <w:rFonts w:ascii="Arial" w:cs="Arial" w:eastAsia="Arial" w:hAnsi="Arial"/>
                <w:sz w:val="18"/>
                <w:szCs w:val="18"/>
                <w:color w:val="0000FF"/>
              </w:rPr>
              <w:t>Controls and Procedures</w:t>
            </w:r>
          </w:p>
        </w:tc>
        <w:tc>
          <w:tcPr>
            <w:tcW w:w="520" w:type="dxa"/>
            <w:vAlign w:val="bottom"/>
            <w:gridSpan w:val="3"/>
          </w:tcPr>
          <w:p>
            <w:pPr>
              <w:jc w:val="right"/>
              <w:spacing w:after="0"/>
              <w:rPr>
                <w:sz w:val="20"/>
                <w:szCs w:val="20"/>
                <w:color w:val="auto"/>
              </w:rPr>
            </w:pPr>
            <w:r>
              <w:rPr>
                <w:rFonts w:ascii="Arial" w:cs="Arial" w:eastAsia="Arial" w:hAnsi="Arial"/>
                <w:sz w:val="18"/>
                <w:szCs w:val="18"/>
                <w:color w:val="0000FF"/>
              </w:rPr>
              <w:t>35</w:t>
            </w:r>
          </w:p>
        </w:tc>
        <w:tc>
          <w:tcPr>
            <w:tcW w:w="40" w:type="dxa"/>
            <w:vAlign w:val="bottom"/>
          </w:tcPr>
          <w:p>
            <w:pPr>
              <w:spacing w:after="0"/>
              <w:rPr>
                <w:sz w:val="18"/>
                <w:szCs w:val="18"/>
                <w:color w:val="auto"/>
              </w:rPr>
            </w:pPr>
          </w:p>
        </w:tc>
      </w:tr>
      <w:tr>
        <w:trPr>
          <w:trHeight w:val="20"/>
        </w:trPr>
        <w:tc>
          <w:tcPr>
            <w:tcW w:w="9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5360" w:type="dxa"/>
            <w:vAlign w:val="bottom"/>
            <w:gridSpan w:val="7"/>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79"/>
        </w:trPr>
        <w:tc>
          <w:tcPr>
            <w:tcW w:w="980" w:type="dxa"/>
            <w:vAlign w:val="bottom"/>
          </w:tcPr>
          <w:p>
            <w:pPr>
              <w:ind w:left="40"/>
              <w:spacing w:after="0"/>
              <w:rPr>
                <w:sz w:val="20"/>
                <w:szCs w:val="20"/>
                <w:color w:val="auto"/>
              </w:rPr>
            </w:pPr>
            <w:r>
              <w:rPr>
                <w:rFonts w:ascii="Arial" w:cs="Arial" w:eastAsia="Arial" w:hAnsi="Arial"/>
                <w:sz w:val="18"/>
                <w:szCs w:val="18"/>
                <w:b w:val="1"/>
                <w:bCs w:val="1"/>
                <w:color w:val="auto"/>
              </w:rPr>
              <w:t>PART II</w:t>
            </w:r>
          </w:p>
        </w:tc>
        <w:tc>
          <w:tcPr>
            <w:tcW w:w="202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b w:val="1"/>
                <w:bCs w:val="1"/>
                <w:color w:val="0000FF"/>
              </w:rPr>
              <w:t>OTHER INFORMATION</w:t>
            </w:r>
          </w:p>
        </w:tc>
        <w:tc>
          <w:tcPr>
            <w:tcW w:w="7680" w:type="dxa"/>
            <w:vAlign w:val="bottom"/>
            <w:gridSpan w:val="10"/>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79"/>
        </w:trPr>
        <w:tc>
          <w:tcPr>
            <w:tcW w:w="980" w:type="dxa"/>
            <w:vAlign w:val="bottom"/>
          </w:tcPr>
          <w:p>
            <w:pPr>
              <w:ind w:left="40"/>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88"/>
              </w:rPr>
              <w:t>Legal Proceedings</w:t>
            </w:r>
          </w:p>
        </w:tc>
        <w:tc>
          <w:tcPr>
            <w:tcW w:w="8360" w:type="dxa"/>
            <w:vAlign w:val="bottom"/>
            <w:gridSpan w:val="12"/>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36</w:t>
            </w:r>
          </w:p>
        </w:tc>
        <w:tc>
          <w:tcPr>
            <w:tcW w:w="40" w:type="dxa"/>
            <w:vAlign w:val="bottom"/>
          </w:tcPr>
          <w:p>
            <w:pPr>
              <w:spacing w:after="0"/>
              <w:rPr>
                <w:sz w:val="24"/>
                <w:szCs w:val="24"/>
                <w:color w:val="auto"/>
              </w:rPr>
            </w:pPr>
          </w:p>
        </w:tc>
      </w:tr>
      <w:tr>
        <w:trPr>
          <w:trHeight w:val="210"/>
        </w:trPr>
        <w:tc>
          <w:tcPr>
            <w:tcW w:w="980" w:type="dxa"/>
            <w:vAlign w:val="bottom"/>
          </w:tcPr>
          <w:p>
            <w:pPr>
              <w:ind w:left="40"/>
              <w:spacing w:after="0"/>
              <w:rPr>
                <w:sz w:val="20"/>
                <w:szCs w:val="20"/>
                <w:color w:val="auto"/>
              </w:rPr>
            </w:pPr>
            <w:r>
              <w:rPr>
                <w:rFonts w:ascii="Arial" w:cs="Arial" w:eastAsia="Arial" w:hAnsi="Arial"/>
                <w:sz w:val="18"/>
                <w:szCs w:val="18"/>
                <w:color w:val="auto"/>
              </w:rPr>
              <w:t>Item 1A.</w:t>
            </w:r>
          </w:p>
        </w:tc>
        <w:tc>
          <w:tcPr>
            <w:tcW w:w="9700" w:type="dxa"/>
            <w:vAlign w:val="bottom"/>
            <w:gridSpan w:val="18"/>
          </w:tcPr>
          <w:p>
            <w:pPr>
              <w:spacing w:after="0"/>
              <w:rPr>
                <w:sz w:val="20"/>
                <w:szCs w:val="20"/>
                <w:color w:val="auto"/>
              </w:rPr>
            </w:pPr>
            <w:r>
              <w:rPr>
                <w:rFonts w:ascii="Arial" w:cs="Arial" w:eastAsia="Arial" w:hAnsi="Arial"/>
                <w:sz w:val="18"/>
                <w:szCs w:val="18"/>
                <w:color w:val="0000FF"/>
              </w:rPr>
              <w:t>Risk Factors</w:t>
            </w:r>
          </w:p>
        </w:tc>
        <w:tc>
          <w:tcPr>
            <w:tcW w:w="520" w:type="dxa"/>
            <w:vAlign w:val="bottom"/>
            <w:gridSpan w:val="3"/>
          </w:tcPr>
          <w:p>
            <w:pPr>
              <w:jc w:val="right"/>
              <w:spacing w:after="0"/>
              <w:rPr>
                <w:sz w:val="20"/>
                <w:szCs w:val="20"/>
                <w:color w:val="auto"/>
              </w:rPr>
            </w:pPr>
            <w:r>
              <w:rPr>
                <w:rFonts w:ascii="Arial" w:cs="Arial" w:eastAsia="Arial" w:hAnsi="Arial"/>
                <w:sz w:val="18"/>
                <w:szCs w:val="18"/>
                <w:color w:val="0000FF"/>
              </w:rPr>
              <w:t>36</w:t>
            </w:r>
          </w:p>
        </w:tc>
        <w:tc>
          <w:tcPr>
            <w:tcW w:w="40" w:type="dxa"/>
            <w:vAlign w:val="bottom"/>
          </w:tcPr>
          <w:p>
            <w:pPr>
              <w:spacing w:after="0"/>
              <w:rPr>
                <w:sz w:val="18"/>
                <w:szCs w:val="18"/>
                <w:color w:val="auto"/>
              </w:rPr>
            </w:pPr>
          </w:p>
        </w:tc>
      </w:tr>
      <w:tr>
        <w:trPr>
          <w:trHeight w:val="20"/>
        </w:trPr>
        <w:tc>
          <w:tcPr>
            <w:tcW w:w="9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20" w:type="dxa"/>
            <w:vAlign w:val="bottom"/>
            <w:gridSpan w:val="6"/>
          </w:tcPr>
          <w:p>
            <w:pPr>
              <w:spacing w:after="0" w:line="20" w:lineRule="exact"/>
              <w:rPr>
                <w:sz w:val="1"/>
                <w:szCs w:val="1"/>
                <w:color w:val="auto"/>
              </w:rPr>
            </w:pPr>
          </w:p>
        </w:tc>
        <w:tc>
          <w:tcPr>
            <w:tcW w:w="5360" w:type="dxa"/>
            <w:vAlign w:val="bottom"/>
            <w:gridSpan w:val="7"/>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980" w:type="dxa"/>
            <w:vAlign w:val="bottom"/>
          </w:tcPr>
          <w:p>
            <w:pPr>
              <w:ind w:left="40"/>
              <w:spacing w:after="0"/>
              <w:rPr>
                <w:sz w:val="20"/>
                <w:szCs w:val="20"/>
                <w:color w:val="auto"/>
              </w:rPr>
            </w:pPr>
            <w:r>
              <w:rPr>
                <w:rFonts w:ascii="Arial" w:cs="Arial" w:eastAsia="Arial" w:hAnsi="Arial"/>
                <w:sz w:val="18"/>
                <w:szCs w:val="18"/>
                <w:color w:val="auto"/>
              </w:rPr>
              <w:t>Item 2.</w:t>
            </w:r>
          </w:p>
        </w:tc>
        <w:tc>
          <w:tcPr>
            <w:tcW w:w="9700" w:type="dxa"/>
            <w:vAlign w:val="bottom"/>
            <w:gridSpan w:val="18"/>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520" w:type="dxa"/>
            <w:vAlign w:val="bottom"/>
            <w:gridSpan w:val="3"/>
          </w:tcPr>
          <w:p>
            <w:pPr>
              <w:jc w:val="right"/>
              <w:spacing w:after="0"/>
              <w:rPr>
                <w:sz w:val="20"/>
                <w:szCs w:val="20"/>
                <w:color w:val="auto"/>
              </w:rPr>
            </w:pPr>
            <w:r>
              <w:rPr>
                <w:rFonts w:ascii="Arial" w:cs="Arial" w:eastAsia="Arial" w:hAnsi="Arial"/>
                <w:sz w:val="18"/>
                <w:szCs w:val="18"/>
                <w:color w:val="0000FF"/>
              </w:rPr>
              <w:t>38</w:t>
            </w:r>
          </w:p>
        </w:tc>
        <w:tc>
          <w:tcPr>
            <w:tcW w:w="40" w:type="dxa"/>
            <w:vAlign w:val="bottom"/>
          </w:tcPr>
          <w:p>
            <w:pPr>
              <w:spacing w:after="0"/>
              <w:rPr>
                <w:sz w:val="18"/>
                <w:szCs w:val="18"/>
                <w:color w:val="auto"/>
              </w:rPr>
            </w:pPr>
          </w:p>
        </w:tc>
      </w:tr>
      <w:tr>
        <w:trPr>
          <w:trHeight w:val="210"/>
        </w:trPr>
        <w:tc>
          <w:tcPr>
            <w:tcW w:w="980" w:type="dxa"/>
            <w:vAlign w:val="bottom"/>
          </w:tcPr>
          <w:p>
            <w:pPr>
              <w:ind w:left="40"/>
              <w:spacing w:after="0"/>
              <w:rPr>
                <w:sz w:val="20"/>
                <w:szCs w:val="20"/>
                <w:color w:val="auto"/>
              </w:rPr>
            </w:pPr>
            <w:r>
              <w:rPr>
                <w:rFonts w:ascii="Arial" w:cs="Arial" w:eastAsia="Arial" w:hAnsi="Arial"/>
                <w:sz w:val="18"/>
                <w:szCs w:val="18"/>
                <w:color w:val="auto"/>
              </w:rPr>
              <w:t>Item 5.</w:t>
            </w:r>
          </w:p>
        </w:tc>
        <w:tc>
          <w:tcPr>
            <w:tcW w:w="132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8"/>
                <w:szCs w:val="18"/>
                <w:color w:val="0000FF"/>
                <w:w w:val="92"/>
              </w:rPr>
              <w:t>Other Information</w:t>
            </w:r>
          </w:p>
        </w:tc>
        <w:tc>
          <w:tcPr>
            <w:tcW w:w="3020" w:type="dxa"/>
            <w:vAlign w:val="bottom"/>
            <w:tcBorders>
              <w:top w:val="single" w:sz="8" w:color="0000FF"/>
            </w:tcBorders>
            <w:gridSpan w:val="6"/>
          </w:tcPr>
          <w:p>
            <w:pPr>
              <w:spacing w:after="0"/>
              <w:rPr>
                <w:sz w:val="18"/>
                <w:szCs w:val="18"/>
                <w:color w:val="auto"/>
              </w:rPr>
            </w:pPr>
          </w:p>
        </w:tc>
        <w:tc>
          <w:tcPr>
            <w:tcW w:w="5360" w:type="dxa"/>
            <w:vAlign w:val="bottom"/>
            <w:gridSpan w:val="7"/>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39</w:t>
            </w:r>
          </w:p>
        </w:tc>
        <w:tc>
          <w:tcPr>
            <w:tcW w:w="40" w:type="dxa"/>
            <w:vAlign w:val="bottom"/>
          </w:tcPr>
          <w:p>
            <w:pPr>
              <w:spacing w:after="0"/>
              <w:rPr>
                <w:sz w:val="18"/>
                <w:szCs w:val="18"/>
                <w:color w:val="auto"/>
              </w:rPr>
            </w:pPr>
          </w:p>
        </w:tc>
      </w:tr>
      <w:tr>
        <w:trPr>
          <w:trHeight w:val="209"/>
        </w:trPr>
        <w:tc>
          <w:tcPr>
            <w:tcW w:w="980" w:type="dxa"/>
            <w:vAlign w:val="bottom"/>
          </w:tcPr>
          <w:p>
            <w:pPr>
              <w:ind w:left="40"/>
              <w:spacing w:after="0"/>
              <w:rPr>
                <w:sz w:val="20"/>
                <w:szCs w:val="20"/>
                <w:color w:val="auto"/>
              </w:rPr>
            </w:pPr>
            <w:r>
              <w:rPr>
                <w:rFonts w:ascii="Arial" w:cs="Arial" w:eastAsia="Arial" w:hAnsi="Arial"/>
                <w:sz w:val="18"/>
                <w:szCs w:val="18"/>
                <w:color w:val="auto"/>
              </w:rPr>
              <w:t>Item 6.</w:t>
            </w:r>
          </w:p>
        </w:tc>
        <w:tc>
          <w:tcPr>
            <w:tcW w:w="60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1"/>
              </w:rPr>
              <w:t>Exhibits</w:t>
            </w:r>
          </w:p>
        </w:tc>
        <w:tc>
          <w:tcPr>
            <w:tcW w:w="9100" w:type="dxa"/>
            <w:vAlign w:val="bottom"/>
            <w:gridSpan w:val="16"/>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40</w:t>
            </w:r>
          </w:p>
        </w:tc>
        <w:tc>
          <w:tcPr>
            <w:tcW w:w="40" w:type="dxa"/>
            <w:vAlign w:val="bottom"/>
          </w:tcPr>
          <w:p>
            <w:pPr>
              <w:spacing w:after="0"/>
              <w:rPr>
                <w:sz w:val="18"/>
                <w:szCs w:val="18"/>
                <w:color w:val="auto"/>
              </w:rPr>
            </w:pPr>
          </w:p>
        </w:tc>
      </w:tr>
      <w:tr>
        <w:trPr>
          <w:trHeight w:val="480"/>
        </w:trPr>
        <w:tc>
          <w:tcPr>
            <w:tcW w:w="980" w:type="dxa"/>
            <w:vAlign w:val="bottom"/>
          </w:tcPr>
          <w:p>
            <w:pPr>
              <w:spacing w:after="0"/>
              <w:rPr>
                <w:sz w:val="24"/>
                <w:szCs w:val="24"/>
                <w:color w:val="auto"/>
              </w:rPr>
            </w:pPr>
          </w:p>
        </w:tc>
        <w:tc>
          <w:tcPr>
            <w:tcW w:w="76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85"/>
              </w:rPr>
              <w:t>Signatures</w:t>
            </w:r>
          </w:p>
        </w:tc>
        <w:tc>
          <w:tcPr>
            <w:tcW w:w="8940" w:type="dxa"/>
            <w:vAlign w:val="bottom"/>
            <w:gridSpan w:val="15"/>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41</w:t>
            </w:r>
          </w:p>
        </w:tc>
        <w:tc>
          <w:tcPr>
            <w:tcW w:w="40" w:type="dxa"/>
            <w:vAlign w:val="bottom"/>
          </w:tcPr>
          <w:p>
            <w:pPr>
              <w:spacing w:after="0"/>
              <w:rPr>
                <w:sz w:val="24"/>
                <w:szCs w:val="24"/>
                <w:color w:val="auto"/>
              </w:rPr>
            </w:pPr>
          </w:p>
        </w:tc>
      </w:tr>
      <w:tr>
        <w:trPr>
          <w:trHeight w:val="885"/>
        </w:trPr>
        <w:tc>
          <w:tcPr>
            <w:tcW w:w="980" w:type="dxa"/>
            <w:vAlign w:val="bottom"/>
          </w:tcPr>
          <w:p>
            <w:pPr>
              <w:spacing w:after="0"/>
              <w:rPr>
                <w:sz w:val="24"/>
                <w:szCs w:val="24"/>
                <w:color w:val="auto"/>
              </w:rPr>
            </w:pPr>
          </w:p>
        </w:tc>
        <w:tc>
          <w:tcPr>
            <w:tcW w:w="6460" w:type="dxa"/>
            <w:vAlign w:val="bottom"/>
            <w:gridSpan w:val="13"/>
          </w:tcPr>
          <w:p>
            <w:pPr>
              <w:ind w:left="460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9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6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share data)</w:t>
            </w:r>
          </w:p>
        </w:tc>
        <w:tc>
          <w:tcPr>
            <w:tcW w:w="220" w:type="dxa"/>
            <w:vAlign w:val="bottom"/>
          </w:tcPr>
          <w:p>
            <w:pPr>
              <w:spacing w:after="0"/>
              <w:rPr>
                <w:sz w:val="20"/>
                <w:szCs w:val="20"/>
                <w:color w:val="auto"/>
              </w:rPr>
            </w:pP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rPr>
              <w:t>August 31, 2023</w:t>
            </w:r>
          </w:p>
        </w:tc>
        <w:tc>
          <w:tcPr>
            <w:tcW w:w="180" w:type="dxa"/>
            <w:vAlign w:val="bottom"/>
          </w:tcPr>
          <w:p>
            <w:pPr>
              <w:spacing w:after="0"/>
              <w:rPr>
                <w:sz w:val="20"/>
                <w:szCs w:val="20"/>
                <w:color w:val="auto"/>
              </w:rPr>
            </w:pPr>
          </w:p>
        </w:tc>
        <w:tc>
          <w:tcPr>
            <w:tcW w:w="1720" w:type="dxa"/>
            <w:vAlign w:val="bottom"/>
          </w:tcPr>
          <w:p>
            <w:pPr>
              <w:jc w:val="right"/>
              <w:ind w:right="130"/>
              <w:spacing w:after="0"/>
              <w:rPr>
                <w:sz w:val="20"/>
                <w:szCs w:val="20"/>
                <w:color w:val="auto"/>
              </w:rPr>
            </w:pPr>
            <w:r>
              <w:rPr>
                <w:rFonts w:ascii="Arial" w:cs="Arial" w:eastAsia="Arial" w:hAnsi="Arial"/>
                <w:sz w:val="18"/>
                <w:szCs w:val="18"/>
                <w:color w:val="auto"/>
                <w:w w:val="93"/>
              </w:rPr>
              <w:t>November 30, 2022</w:t>
            </w:r>
          </w:p>
        </w:tc>
        <w:tc>
          <w:tcPr>
            <w:tcW w:w="0" w:type="dxa"/>
            <w:vAlign w:val="bottom"/>
          </w:tcPr>
          <w:p>
            <w:pPr>
              <w:spacing w:after="0"/>
              <w:rPr>
                <w:sz w:val="1"/>
                <w:szCs w:val="1"/>
                <w:color w:val="auto"/>
              </w:rPr>
            </w:pPr>
          </w:p>
        </w:tc>
      </w:tr>
      <w:tr>
        <w:trPr>
          <w:trHeight w:val="210"/>
        </w:trPr>
        <w:tc>
          <w:tcPr>
            <w:tcW w:w="7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2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256,277</w:t>
            </w:r>
          </w:p>
        </w:tc>
        <w:tc>
          <w:tcPr>
            <w:tcW w:w="0" w:type="dxa"/>
            <w:vAlign w:val="bottom"/>
          </w:tcPr>
          <w:p>
            <w:pPr>
              <w:spacing w:after="0"/>
              <w:rPr>
                <w:sz w:val="1"/>
                <w:szCs w:val="1"/>
                <w:color w:val="auto"/>
              </w:rPr>
            </w:pPr>
          </w:p>
        </w:tc>
      </w:tr>
      <w:tr>
        <w:trPr>
          <w:trHeight w:val="230"/>
        </w:trPr>
        <w:tc>
          <w:tcPr>
            <w:tcW w:w="7360" w:type="dxa"/>
            <w:vAlign w:val="bottom"/>
          </w:tcPr>
          <w:p>
            <w:pPr>
              <w:ind w:left="360"/>
              <w:spacing w:after="0"/>
              <w:rPr>
                <w:sz w:val="20"/>
                <w:szCs w:val="20"/>
                <w:color w:val="auto"/>
              </w:rPr>
            </w:pPr>
            <w:r>
              <w:rPr>
                <w:rFonts w:ascii="Arial" w:cs="Arial" w:eastAsia="Arial" w:hAnsi="Arial"/>
                <w:sz w:val="18"/>
                <w:szCs w:val="18"/>
                <w:color w:val="auto"/>
              </w:rPr>
              <w:t>Accounts receivable (less allowances of $985 and $859, respectively)</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99,726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97,834</w:t>
            </w: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Unbilled receivables</w:t>
            </w: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29,158</w:t>
            </w:r>
          </w:p>
        </w:tc>
        <w:tc>
          <w:tcPr>
            <w:tcW w:w="0" w:type="dxa"/>
            <w:vAlign w:val="bottom"/>
          </w:tcPr>
          <w:p>
            <w:pPr>
              <w:spacing w:after="0"/>
              <w:rPr>
                <w:sz w:val="1"/>
                <w:szCs w:val="1"/>
                <w:color w:val="auto"/>
              </w:rPr>
            </w:pPr>
          </w:p>
        </w:tc>
      </w:tr>
      <w:tr>
        <w:trPr>
          <w:trHeight w:val="229"/>
        </w:trPr>
        <w:tc>
          <w:tcPr>
            <w:tcW w:w="73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33,447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42,784</w:t>
            </w:r>
          </w:p>
        </w:tc>
        <w:tc>
          <w:tcPr>
            <w:tcW w:w="0" w:type="dxa"/>
            <w:vAlign w:val="bottom"/>
          </w:tcPr>
          <w:p>
            <w:pPr>
              <w:spacing w:after="0"/>
              <w:rPr>
                <w:sz w:val="1"/>
                <w:szCs w:val="1"/>
                <w:color w:val="auto"/>
              </w:rPr>
            </w:pPr>
          </w:p>
        </w:tc>
      </w:tr>
      <w:tr>
        <w:trPr>
          <w:trHeight w:val="223"/>
        </w:trPr>
        <w:tc>
          <w:tcPr>
            <w:tcW w:w="73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302,840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426,053</w:t>
            </w:r>
          </w:p>
        </w:tc>
        <w:tc>
          <w:tcPr>
            <w:tcW w:w="0" w:type="dxa"/>
            <w:vAlign w:val="bottom"/>
          </w:tcPr>
          <w:p>
            <w:pPr>
              <w:spacing w:after="0"/>
              <w:rPr>
                <w:sz w:val="1"/>
                <w:szCs w:val="1"/>
                <w:color w:val="auto"/>
              </w:rPr>
            </w:pPr>
          </w:p>
        </w:tc>
      </w:tr>
      <w:tr>
        <w:trPr>
          <w:trHeight w:val="223"/>
        </w:trPr>
        <w:tc>
          <w:tcPr>
            <w:tcW w:w="7360" w:type="dxa"/>
            <w:vAlign w:val="bottom"/>
          </w:tcPr>
          <w:p>
            <w:pPr>
              <w:ind w:left="20"/>
              <w:spacing w:after="0"/>
              <w:rPr>
                <w:sz w:val="20"/>
                <w:szCs w:val="20"/>
                <w:color w:val="auto"/>
              </w:rPr>
            </w:pPr>
            <w:r>
              <w:rPr>
                <w:rFonts w:ascii="Arial" w:cs="Arial" w:eastAsia="Arial" w:hAnsi="Arial"/>
                <w:sz w:val="18"/>
                <w:szCs w:val="18"/>
                <w:color w:val="auto"/>
              </w:rPr>
              <w:t>Long-term unbilled receivables</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33,121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39,936</w:t>
            </w: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14,927</w:t>
            </w:r>
          </w:p>
        </w:tc>
        <w:tc>
          <w:tcPr>
            <w:tcW w:w="0" w:type="dxa"/>
            <w:vAlign w:val="bottom"/>
          </w:tcPr>
          <w:p>
            <w:pPr>
              <w:spacing w:after="0"/>
              <w:rPr>
                <w:sz w:val="1"/>
                <w:szCs w:val="1"/>
                <w:color w:val="auto"/>
              </w:rPr>
            </w:pPr>
          </w:p>
        </w:tc>
      </w:tr>
      <w:tr>
        <w:trPr>
          <w:trHeight w:val="229"/>
        </w:trPr>
        <w:tc>
          <w:tcPr>
            <w:tcW w:w="736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378,824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217,355</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826,048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671,037</w:t>
            </w:r>
          </w:p>
        </w:tc>
        <w:tc>
          <w:tcPr>
            <w:tcW w:w="0" w:type="dxa"/>
            <w:vAlign w:val="bottom"/>
          </w:tcPr>
          <w:p>
            <w:pPr>
              <w:spacing w:after="0"/>
              <w:rPr>
                <w:sz w:val="1"/>
                <w:szCs w:val="1"/>
                <w:color w:val="auto"/>
              </w:rPr>
            </w:pPr>
          </w:p>
        </w:tc>
      </w:tr>
      <w:tr>
        <w:trPr>
          <w:trHeight w:val="229"/>
        </w:trPr>
        <w:tc>
          <w:tcPr>
            <w:tcW w:w="7360" w:type="dxa"/>
            <w:vAlign w:val="bottom"/>
          </w:tcPr>
          <w:p>
            <w:pPr>
              <w:ind w:left="20"/>
              <w:spacing w:after="0"/>
              <w:rPr>
                <w:sz w:val="20"/>
                <w:szCs w:val="20"/>
                <w:color w:val="auto"/>
              </w:rPr>
            </w:pPr>
            <w:r>
              <w:rPr>
                <w:rFonts w:ascii="Arial" w:cs="Arial" w:eastAsia="Arial" w:hAnsi="Arial"/>
                <w:sz w:val="18"/>
                <w:szCs w:val="18"/>
                <w:color w:val="auto"/>
              </w:rPr>
              <w:t>Right-of-use lease assets</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20,596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17,574</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11,765</w:t>
            </w:r>
          </w:p>
        </w:tc>
        <w:tc>
          <w:tcPr>
            <w:tcW w:w="0" w:type="dxa"/>
            <w:vAlign w:val="bottom"/>
          </w:tcPr>
          <w:p>
            <w:pPr>
              <w:spacing w:after="0"/>
              <w:rPr>
                <w:sz w:val="1"/>
                <w:szCs w:val="1"/>
                <w:color w:val="auto"/>
              </w:rPr>
            </w:pPr>
          </w:p>
        </w:tc>
      </w:tr>
      <w:tr>
        <w:trPr>
          <w:trHeight w:val="229"/>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12,832</w:t>
            </w:r>
          </w:p>
        </w:tc>
        <w:tc>
          <w:tcPr>
            <w:tcW w:w="0" w:type="dxa"/>
            <w:vAlign w:val="bottom"/>
          </w:tcPr>
          <w:p>
            <w:pPr>
              <w:spacing w:after="0"/>
              <w:rPr>
                <w:sz w:val="1"/>
                <w:szCs w:val="1"/>
                <w:color w:val="auto"/>
              </w:rPr>
            </w:pPr>
          </w:p>
        </w:tc>
      </w:tr>
      <w:tr>
        <w:trPr>
          <w:trHeight w:val="248"/>
        </w:trPr>
        <w:tc>
          <w:tcPr>
            <w:tcW w:w="73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1,597,468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1,411,479</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Liabilities and stockholders’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3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60" w:type="dxa"/>
            <w:vAlign w:val="bottom"/>
          </w:tcPr>
          <w:p>
            <w:pPr>
              <w:ind w:left="360"/>
              <w:spacing w:after="0"/>
              <w:rPr>
                <w:sz w:val="20"/>
                <w:szCs w:val="20"/>
                <w:color w:val="auto"/>
              </w:rPr>
            </w:pPr>
            <w:r>
              <w:rPr>
                <w:rFonts w:ascii="Arial" w:cs="Arial" w:eastAsia="Arial" w:hAnsi="Arial"/>
                <w:sz w:val="18"/>
                <w:szCs w:val="18"/>
                <w:color w:val="auto"/>
              </w:rPr>
              <w:t>Current portion of long-term debt, net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11,390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6,234</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9,282</w:t>
            </w:r>
          </w:p>
        </w:tc>
        <w:tc>
          <w:tcPr>
            <w:tcW w:w="0" w:type="dxa"/>
            <w:vAlign w:val="bottom"/>
          </w:tcPr>
          <w:p>
            <w:pPr>
              <w:spacing w:after="0"/>
              <w:rPr>
                <w:sz w:val="1"/>
                <w:szCs w:val="1"/>
                <w:color w:val="auto"/>
              </w:rPr>
            </w:pPr>
          </w:p>
        </w:tc>
      </w:tr>
      <w:tr>
        <w:trPr>
          <w:trHeight w:val="230"/>
        </w:trPr>
        <w:tc>
          <w:tcPr>
            <w:tcW w:w="7360" w:type="dxa"/>
            <w:vAlign w:val="bottom"/>
          </w:tcPr>
          <w:p>
            <w:pPr>
              <w:ind w:left="360"/>
              <w:spacing w:after="0"/>
              <w:rPr>
                <w:sz w:val="20"/>
                <w:szCs w:val="20"/>
                <w:color w:val="auto"/>
              </w:rPr>
            </w:pPr>
            <w:r>
              <w:rPr>
                <w:rFonts w:ascii="Arial" w:cs="Arial" w:eastAsia="Arial" w:hAnsi="Arial"/>
                <w:sz w:val="18"/>
                <w:szCs w:val="18"/>
                <w:color w:val="auto"/>
              </w:rPr>
              <w:t>Accrued compensation and related taxes</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41,606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42,467</w:t>
            </w: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Dividends payable to stockholders</w:t>
            </w: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8,115</w:t>
            </w:r>
          </w:p>
        </w:tc>
        <w:tc>
          <w:tcPr>
            <w:tcW w:w="0" w:type="dxa"/>
            <w:vAlign w:val="bottom"/>
          </w:tcPr>
          <w:p>
            <w:pPr>
              <w:spacing w:after="0"/>
              <w:rPr>
                <w:sz w:val="1"/>
                <w:szCs w:val="1"/>
                <w:color w:val="auto"/>
              </w:rPr>
            </w:pPr>
          </w:p>
        </w:tc>
      </w:tr>
      <w:tr>
        <w:trPr>
          <w:trHeight w:val="230"/>
        </w:trPr>
        <w:tc>
          <w:tcPr>
            <w:tcW w:w="7360" w:type="dxa"/>
            <w:vAlign w:val="bottom"/>
          </w:tcPr>
          <w:p>
            <w:pPr>
              <w:ind w:left="360"/>
              <w:spacing w:after="0"/>
              <w:rPr>
                <w:sz w:val="20"/>
                <w:szCs w:val="20"/>
                <w:color w:val="auto"/>
              </w:rPr>
            </w:pPr>
            <w:r>
              <w:rPr>
                <w:rFonts w:ascii="Arial" w:cs="Arial" w:eastAsia="Arial" w:hAnsi="Arial"/>
                <w:sz w:val="18"/>
                <w:szCs w:val="18"/>
                <w:color w:val="auto"/>
              </w:rPr>
              <w:t>Short-term operating lease liabilities</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10,088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7,471</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accrued liabilities</w:t>
            </w: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16,765</w:t>
            </w:r>
          </w:p>
        </w:tc>
        <w:tc>
          <w:tcPr>
            <w:tcW w:w="0" w:type="dxa"/>
            <w:vAlign w:val="bottom"/>
          </w:tcPr>
          <w:p>
            <w:pPr>
              <w:spacing w:after="0"/>
              <w:rPr>
                <w:sz w:val="1"/>
                <w:szCs w:val="1"/>
                <w:color w:val="auto"/>
              </w:rPr>
            </w:pPr>
          </w:p>
        </w:tc>
      </w:tr>
      <w:tr>
        <w:trPr>
          <w:trHeight w:val="230"/>
        </w:trPr>
        <w:tc>
          <w:tcPr>
            <w:tcW w:w="73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Short-term deferred revenue, net</w:t>
            </w:r>
          </w:p>
        </w:tc>
        <w:tc>
          <w:tcPr>
            <w:tcW w:w="2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219,601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227,670</w:t>
            </w:r>
          </w:p>
        </w:tc>
        <w:tc>
          <w:tcPr>
            <w:tcW w:w="0" w:type="dxa"/>
            <w:vAlign w:val="bottom"/>
          </w:tcPr>
          <w:p>
            <w:pPr>
              <w:spacing w:after="0"/>
              <w:rPr>
                <w:sz w:val="1"/>
                <w:szCs w:val="1"/>
                <w:color w:val="auto"/>
              </w:rPr>
            </w:pPr>
          </w:p>
        </w:tc>
      </w:tr>
      <w:tr>
        <w:trPr>
          <w:trHeight w:val="223"/>
        </w:trPr>
        <w:tc>
          <w:tcPr>
            <w:tcW w:w="73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324,703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318,004</w:t>
            </w:r>
          </w:p>
        </w:tc>
        <w:tc>
          <w:tcPr>
            <w:tcW w:w="0" w:type="dxa"/>
            <w:vAlign w:val="bottom"/>
          </w:tcPr>
          <w:p>
            <w:pPr>
              <w:spacing w:after="0"/>
              <w:rPr>
                <w:sz w:val="1"/>
                <w:szCs w:val="1"/>
                <w:color w:val="auto"/>
              </w:rPr>
            </w:pPr>
          </w:p>
        </w:tc>
      </w:tr>
      <w:tr>
        <w:trPr>
          <w:trHeight w:val="223"/>
        </w:trPr>
        <w:tc>
          <w:tcPr>
            <w:tcW w:w="7360" w:type="dxa"/>
            <w:vAlign w:val="bottom"/>
          </w:tcPr>
          <w:p>
            <w:pPr>
              <w:ind w:left="20"/>
              <w:spacing w:after="0"/>
              <w:rPr>
                <w:sz w:val="20"/>
                <w:szCs w:val="20"/>
                <w:color w:val="auto"/>
              </w:rPr>
            </w:pPr>
            <w:r>
              <w:rPr>
                <w:rFonts w:ascii="Arial" w:cs="Arial" w:eastAsia="Arial" w:hAnsi="Arial"/>
                <w:sz w:val="18"/>
                <w:szCs w:val="18"/>
                <w:color w:val="auto"/>
              </w:rPr>
              <w:t>Long-term debt, net</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389,388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259,220</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senior notes, net</w:t>
            </w: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354,246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352,625</w:t>
            </w:r>
          </w:p>
        </w:tc>
        <w:tc>
          <w:tcPr>
            <w:tcW w:w="0" w:type="dxa"/>
            <w:vAlign w:val="bottom"/>
          </w:tcPr>
          <w:p>
            <w:pPr>
              <w:spacing w:after="0"/>
              <w:rPr>
                <w:sz w:val="1"/>
                <w:szCs w:val="1"/>
                <w:color w:val="auto"/>
              </w:rPr>
            </w:pPr>
          </w:p>
        </w:tc>
      </w:tr>
      <w:tr>
        <w:trPr>
          <w:trHeight w:val="229"/>
        </w:trPr>
        <w:tc>
          <w:tcPr>
            <w:tcW w:w="7360" w:type="dxa"/>
            <w:vAlign w:val="bottom"/>
          </w:tcPr>
          <w:p>
            <w:pPr>
              <w:ind w:left="20"/>
              <w:spacing w:after="0"/>
              <w:rPr>
                <w:sz w:val="20"/>
                <w:szCs w:val="20"/>
                <w:color w:val="auto"/>
              </w:rPr>
            </w:pPr>
            <w:r>
              <w:rPr>
                <w:rFonts w:ascii="Arial" w:cs="Arial" w:eastAsia="Arial" w:hAnsi="Arial"/>
                <w:sz w:val="18"/>
                <w:szCs w:val="18"/>
                <w:color w:val="auto"/>
              </w:rPr>
              <w:t>Long-term operating lease liabilities</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15,086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15,041</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deferred revenue, net</w:t>
            </w: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54,770</w:t>
            </w:r>
          </w:p>
        </w:tc>
        <w:tc>
          <w:tcPr>
            <w:tcW w:w="0" w:type="dxa"/>
            <w:vAlign w:val="bottom"/>
          </w:tcPr>
          <w:p>
            <w:pPr>
              <w:spacing w:after="0"/>
              <w:rPr>
                <w:sz w:val="1"/>
                <w:szCs w:val="1"/>
                <w:color w:val="auto"/>
              </w:rPr>
            </w:pPr>
          </w:p>
        </w:tc>
      </w:tr>
      <w:tr>
        <w:trPr>
          <w:trHeight w:val="230"/>
        </w:trPr>
        <w:tc>
          <w:tcPr>
            <w:tcW w:w="736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4,240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4,628</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8,687</w:t>
            </w:r>
          </w:p>
        </w:tc>
        <w:tc>
          <w:tcPr>
            <w:tcW w:w="0" w:type="dxa"/>
            <w:vAlign w:val="bottom"/>
          </w:tcPr>
          <w:p>
            <w:pPr>
              <w:spacing w:after="0"/>
              <w:rPr>
                <w:sz w:val="1"/>
                <w:szCs w:val="1"/>
                <w:color w:val="auto"/>
              </w:rPr>
            </w:pPr>
          </w:p>
        </w:tc>
      </w:tr>
      <w:tr>
        <w:trPr>
          <w:trHeight w:val="229"/>
        </w:trPr>
        <w:tc>
          <w:tcPr>
            <w:tcW w:w="736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2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tcPr>
          <w:p>
            <w:pPr>
              <w:ind w:left="360"/>
              <w:spacing w:after="0"/>
              <w:rPr>
                <w:sz w:val="20"/>
                <w:szCs w:val="20"/>
                <w:color w:val="auto"/>
              </w:rPr>
            </w:pPr>
            <w:r>
              <w:rPr>
                <w:rFonts w:ascii="Arial" w:cs="Arial" w:eastAsia="Arial" w:hAnsi="Arial"/>
                <w:sz w:val="18"/>
                <w:szCs w:val="18"/>
                <w:color w:val="auto"/>
              </w:rPr>
              <w:t>Preferred stock, $0.01 par value; authorized, 10,000,000 shares; issued, none</w:t>
            </w:r>
          </w:p>
        </w:tc>
        <w:tc>
          <w:tcPr>
            <w:tcW w:w="220" w:type="dxa"/>
            <w:vAlign w:val="bottom"/>
          </w:tcPr>
          <w:p>
            <w:pPr>
              <w:spacing w:after="0"/>
              <w:rPr>
                <w:sz w:val="19"/>
                <w:szCs w:val="19"/>
                <w:color w:val="auto"/>
              </w:rPr>
            </w:pP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736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7"/>
              </w:rPr>
              <w:t>Common stock, $0.01 par value; authorized, 200,000,000 shares; issued and outstanding,</w:t>
            </w:r>
          </w:p>
        </w:tc>
        <w:tc>
          <w:tcPr>
            <w:tcW w:w="22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43,565,346 shares in 2023 and 43,257,008 shares in 2022</w:t>
            </w:r>
          </w:p>
        </w:tc>
        <w:tc>
          <w:tcPr>
            <w:tcW w:w="22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30"/>
        </w:trPr>
        <w:tc>
          <w:tcPr>
            <w:tcW w:w="736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361,062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331,650</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Retained earnings</w:t>
            </w: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101,656</w:t>
            </w:r>
          </w:p>
        </w:tc>
        <w:tc>
          <w:tcPr>
            <w:tcW w:w="0" w:type="dxa"/>
            <w:vAlign w:val="bottom"/>
          </w:tcPr>
          <w:p>
            <w:pPr>
              <w:spacing w:after="0"/>
              <w:rPr>
                <w:sz w:val="1"/>
                <w:szCs w:val="1"/>
                <w:color w:val="auto"/>
              </w:rPr>
            </w:pPr>
          </w:p>
        </w:tc>
      </w:tr>
      <w:tr>
        <w:trPr>
          <w:trHeight w:val="230"/>
        </w:trPr>
        <w:tc>
          <w:tcPr>
            <w:tcW w:w="73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(31,587)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(35,235)</w:t>
            </w:r>
          </w:p>
        </w:tc>
        <w:tc>
          <w:tcPr>
            <w:tcW w:w="0" w:type="dxa"/>
            <w:vAlign w:val="bottom"/>
          </w:tcPr>
          <w:p>
            <w:pPr>
              <w:spacing w:after="0"/>
              <w:rPr>
                <w:sz w:val="1"/>
                <w:szCs w:val="1"/>
                <w:color w:val="auto"/>
              </w:rPr>
            </w:pPr>
          </w:p>
        </w:tc>
      </w:tr>
      <w:tr>
        <w:trPr>
          <w:trHeight w:val="223"/>
        </w:trPr>
        <w:tc>
          <w:tcPr>
            <w:tcW w:w="73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445,046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398,504</w:t>
            </w:r>
          </w:p>
        </w:tc>
        <w:tc>
          <w:tcPr>
            <w:tcW w:w="0" w:type="dxa"/>
            <w:vAlign w:val="bottom"/>
          </w:tcPr>
          <w:p>
            <w:pPr>
              <w:spacing w:after="0"/>
              <w:rPr>
                <w:sz w:val="1"/>
                <w:szCs w:val="1"/>
                <w:color w:val="auto"/>
              </w:rPr>
            </w:pPr>
          </w:p>
        </w:tc>
      </w:tr>
      <w:tr>
        <w:trPr>
          <w:trHeight w:val="223"/>
        </w:trPr>
        <w:tc>
          <w:tcPr>
            <w:tcW w:w="7360" w:type="dxa"/>
            <w:vAlign w:val="bottom"/>
          </w:tcPr>
          <w:p>
            <w:pPr>
              <w:ind w:left="68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1,597,468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1,411,479</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r>
              <w:rPr>
                <w:rFonts w:ascii="Arial" w:cs="Arial" w:eastAsia="Arial" w:hAnsi="Arial"/>
                <w:sz w:val="18"/>
                <w:szCs w:val="18"/>
                <w:b w:val="1"/>
                <w:bCs w:val="1"/>
                <w:color w:val="auto"/>
              </w:rPr>
              <w:t>Condensed Consolidated Statements of Operations</w:t>
            </w: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53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Three Months Ended</w:t>
            </w:r>
          </w:p>
        </w:tc>
        <w:tc>
          <w:tcPr>
            <w:tcW w:w="6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Nine Months Ended</w:t>
            </w: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38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per share data)</w:t>
            </w:r>
          </w:p>
        </w:tc>
        <w:tc>
          <w:tcPr>
            <w:tcW w:w="1480" w:type="dxa"/>
            <w:vAlign w:val="bottom"/>
            <w:gridSpan w:val="3"/>
          </w:tcPr>
          <w:p>
            <w:pPr>
              <w:ind w:left="100"/>
              <w:spacing w:after="0"/>
              <w:rPr>
                <w:sz w:val="20"/>
                <w:szCs w:val="20"/>
                <w:color w:val="auto"/>
              </w:rPr>
            </w:pPr>
            <w:r>
              <w:rPr>
                <w:rFonts w:ascii="Arial" w:cs="Arial" w:eastAsia="Arial" w:hAnsi="Arial"/>
                <w:sz w:val="18"/>
                <w:szCs w:val="18"/>
                <w:color w:val="auto"/>
              </w:rPr>
              <w:t>August 31, 2023</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w w:val="97"/>
              </w:rPr>
              <w:t>August 31, 2022</w:t>
            </w:r>
          </w:p>
        </w:tc>
        <w:tc>
          <w:tcPr>
            <w:tcW w:w="120" w:type="dxa"/>
            <w:vAlign w:val="bottom"/>
          </w:tcPr>
          <w:p>
            <w:pPr>
              <w:spacing w:after="0"/>
              <w:rPr>
                <w:sz w:val="19"/>
                <w:szCs w:val="19"/>
                <w:color w:val="auto"/>
              </w:rPr>
            </w:pPr>
          </w:p>
        </w:tc>
        <w:tc>
          <w:tcPr>
            <w:tcW w:w="1480" w:type="dxa"/>
            <w:vAlign w:val="bottom"/>
            <w:gridSpan w:val="3"/>
          </w:tcPr>
          <w:p>
            <w:pPr>
              <w:ind w:left="80"/>
              <w:spacing w:after="0"/>
              <w:rPr>
                <w:sz w:val="20"/>
                <w:szCs w:val="20"/>
                <w:color w:val="auto"/>
              </w:rPr>
            </w:pPr>
            <w:r>
              <w:rPr>
                <w:rFonts w:ascii="Arial" w:cs="Arial" w:eastAsia="Arial" w:hAnsi="Arial"/>
                <w:sz w:val="18"/>
                <w:szCs w:val="18"/>
                <w:color w:val="auto"/>
              </w:rPr>
              <w:t>August 31, 2023</w:t>
            </w:r>
          </w:p>
        </w:tc>
        <w:tc>
          <w:tcPr>
            <w:tcW w:w="1400" w:type="dxa"/>
            <w:vAlign w:val="bottom"/>
            <w:gridSpan w:val="2"/>
          </w:tcPr>
          <w:p>
            <w:pPr>
              <w:jc w:val="right"/>
              <w:ind w:right="10"/>
              <w:spacing w:after="0"/>
              <w:rPr>
                <w:sz w:val="20"/>
                <w:szCs w:val="20"/>
                <w:color w:val="auto"/>
              </w:rPr>
            </w:pPr>
            <w:r>
              <w:rPr>
                <w:rFonts w:ascii="Arial" w:cs="Arial" w:eastAsia="Arial" w:hAnsi="Arial"/>
                <w:sz w:val="18"/>
                <w:szCs w:val="18"/>
                <w:color w:val="auto"/>
                <w:w w:val="97"/>
              </w:rPr>
              <w:t>August 31, 2022</w:t>
            </w:r>
          </w:p>
        </w:tc>
        <w:tc>
          <w:tcPr>
            <w:tcW w:w="0" w:type="dxa"/>
            <w:vAlign w:val="bottom"/>
          </w:tcPr>
          <w:p>
            <w:pPr>
              <w:spacing w:after="0"/>
              <w:rPr>
                <w:sz w:val="1"/>
                <w:szCs w:val="1"/>
                <w:color w:val="auto"/>
              </w:rPr>
            </w:pPr>
          </w:p>
        </w:tc>
      </w:tr>
      <w:tr>
        <w:trPr>
          <w:trHeight w:val="210"/>
        </w:trPr>
        <w:tc>
          <w:tcPr>
            <w:tcW w:w="5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80" w:type="dxa"/>
            <w:vAlign w:val="bottom"/>
          </w:tcPr>
          <w:p>
            <w:pPr>
              <w:ind w:left="360"/>
              <w:spacing w:after="0"/>
              <w:rPr>
                <w:sz w:val="20"/>
                <w:szCs w:val="20"/>
                <w:color w:val="auto"/>
              </w:rPr>
            </w:pPr>
            <w:r>
              <w:rPr>
                <w:rFonts w:ascii="Arial" w:cs="Arial" w:eastAsia="Arial" w:hAnsi="Arial"/>
                <w:sz w:val="18"/>
                <w:szCs w:val="18"/>
                <w:color w:val="auto"/>
              </w:rPr>
              <w:t>Software licenses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50,544</w:t>
            </w:r>
          </w:p>
        </w:tc>
        <w:tc>
          <w:tcPr>
            <w:tcW w:w="100" w:type="dxa"/>
            <w:vAlign w:val="bottom"/>
          </w:tcPr>
          <w:p>
            <w:pPr>
              <w:spacing w:after="0"/>
              <w:rPr>
                <w:sz w:val="19"/>
                <w:szCs w:val="19"/>
                <w:color w:val="auto"/>
              </w:rPr>
            </w:pPr>
          </w:p>
        </w:tc>
        <w:tc>
          <w:tcPr>
            <w:tcW w:w="720" w:type="dxa"/>
            <w:vAlign w:val="bottom"/>
          </w:tcPr>
          <w:p>
            <w:pPr>
              <w:jc w:val="right"/>
              <w:ind w:right="51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47,618</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164,519</w:t>
            </w:r>
          </w:p>
        </w:tc>
        <w:tc>
          <w:tcPr>
            <w:tcW w:w="100" w:type="dxa"/>
            <w:vAlign w:val="bottom"/>
          </w:tcPr>
          <w:p>
            <w:pPr>
              <w:spacing w:after="0"/>
              <w:rPr>
                <w:sz w:val="19"/>
                <w:szCs w:val="19"/>
                <w:color w:val="auto"/>
              </w:rPr>
            </w:pPr>
          </w:p>
        </w:tc>
        <w:tc>
          <w:tcPr>
            <w:tcW w:w="720" w:type="dxa"/>
            <w:vAlign w:val="bottom"/>
          </w:tcPr>
          <w:p>
            <w:pPr>
              <w:jc w:val="right"/>
              <w:ind w:right="5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89"/>
              </w:rPr>
              <w:t>135,182</w:t>
            </w:r>
          </w:p>
        </w:tc>
        <w:tc>
          <w:tcPr>
            <w:tcW w:w="0" w:type="dxa"/>
            <w:vAlign w:val="bottom"/>
          </w:tcPr>
          <w:p>
            <w:pPr>
              <w:spacing w:after="0"/>
              <w:rPr>
                <w:sz w:val="1"/>
                <w:szCs w:val="1"/>
                <w:color w:val="auto"/>
              </w:rPr>
            </w:pPr>
          </w:p>
        </w:tc>
      </w:tr>
      <w:tr>
        <w:trPr>
          <w:trHeight w:val="230"/>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Maintenance and services</w:t>
            </w: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124,448</w:t>
            </w:r>
          </w:p>
        </w:tc>
        <w:tc>
          <w:tcPr>
            <w:tcW w:w="1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103,599</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352,950</w:t>
            </w:r>
          </w:p>
        </w:tc>
        <w:tc>
          <w:tcPr>
            <w:tcW w:w="1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309,704</w:t>
            </w:r>
          </w:p>
        </w:tc>
        <w:tc>
          <w:tcPr>
            <w:tcW w:w="0" w:type="dxa"/>
            <w:vAlign w:val="bottom"/>
          </w:tcPr>
          <w:p>
            <w:pPr>
              <w:spacing w:after="0"/>
              <w:rPr>
                <w:sz w:val="1"/>
                <w:szCs w:val="1"/>
                <w:color w:val="auto"/>
              </w:rPr>
            </w:pPr>
          </w:p>
        </w:tc>
      </w:tr>
      <w:tr>
        <w:trPr>
          <w:trHeight w:val="223"/>
        </w:trPr>
        <w:tc>
          <w:tcPr>
            <w:tcW w:w="5380" w:type="dxa"/>
            <w:vAlign w:val="bottom"/>
            <w:tcBorders>
              <w:bottom w:val="single" w:sz="8" w:color="CCEEFF"/>
            </w:tcBorders>
          </w:tcPr>
          <w:p>
            <w:pPr>
              <w:ind w:left="1120"/>
              <w:spacing w:after="0"/>
              <w:rPr>
                <w:sz w:val="20"/>
                <w:szCs w:val="20"/>
                <w:color w:val="auto"/>
              </w:rPr>
            </w:pPr>
            <w:r>
              <w:rPr>
                <w:rFonts w:ascii="Arial" w:cs="Arial" w:eastAsia="Arial" w:hAnsi="Arial"/>
                <w:sz w:val="18"/>
                <w:szCs w:val="18"/>
                <w:color w:val="auto"/>
              </w:rPr>
              <w:t>Total revenue</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174,992</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151,217</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517,469</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444,886</w:t>
            </w:r>
          </w:p>
        </w:tc>
        <w:tc>
          <w:tcPr>
            <w:tcW w:w="0" w:type="dxa"/>
            <w:vAlign w:val="bottom"/>
          </w:tcPr>
          <w:p>
            <w:pPr>
              <w:spacing w:after="0"/>
              <w:rPr>
                <w:sz w:val="1"/>
                <w:szCs w:val="1"/>
                <w:color w:val="auto"/>
              </w:rPr>
            </w:pPr>
          </w:p>
        </w:tc>
      </w:tr>
      <w:tr>
        <w:trPr>
          <w:trHeight w:val="210"/>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of revenue:</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80" w:type="dxa"/>
            <w:vAlign w:val="bottom"/>
          </w:tcPr>
          <w:p>
            <w:pPr>
              <w:ind w:left="360"/>
              <w:spacing w:after="0"/>
              <w:rPr>
                <w:sz w:val="20"/>
                <w:szCs w:val="20"/>
                <w:color w:val="auto"/>
              </w:rPr>
            </w:pPr>
            <w:r>
              <w:rPr>
                <w:rFonts w:ascii="Arial" w:cs="Arial" w:eastAsia="Arial" w:hAnsi="Arial"/>
                <w:sz w:val="18"/>
                <w:szCs w:val="18"/>
                <w:color w:val="auto"/>
              </w:rPr>
              <w:t>Cost of software licenses</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2,732</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2,477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7,998</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7,669</w:t>
            </w:r>
          </w:p>
        </w:tc>
        <w:tc>
          <w:tcPr>
            <w:tcW w:w="0" w:type="dxa"/>
            <w:vAlign w:val="bottom"/>
          </w:tcPr>
          <w:p>
            <w:pPr>
              <w:spacing w:after="0"/>
              <w:rPr>
                <w:sz w:val="1"/>
                <w:szCs w:val="1"/>
                <w:color w:val="auto"/>
              </w:rPr>
            </w:pPr>
          </w:p>
        </w:tc>
      </w:tr>
      <w:tr>
        <w:trPr>
          <w:trHeight w:val="229"/>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maintenance and services</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22,192</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62,663</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46,707</w:t>
            </w:r>
          </w:p>
        </w:tc>
        <w:tc>
          <w:tcPr>
            <w:tcW w:w="0" w:type="dxa"/>
            <w:vAlign w:val="bottom"/>
          </w:tcPr>
          <w:p>
            <w:pPr>
              <w:spacing w:after="0"/>
              <w:rPr>
                <w:sz w:val="1"/>
                <w:szCs w:val="1"/>
                <w:color w:val="auto"/>
              </w:rPr>
            </w:pPr>
          </w:p>
        </w:tc>
      </w:tr>
      <w:tr>
        <w:trPr>
          <w:trHeight w:val="230"/>
        </w:trPr>
        <w:tc>
          <w:tcPr>
            <w:tcW w:w="53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Amortization of acquired intangibles</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7,995</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5,558</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22,253</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16,589</w:t>
            </w:r>
          </w:p>
        </w:tc>
        <w:tc>
          <w:tcPr>
            <w:tcW w:w="0" w:type="dxa"/>
            <w:vAlign w:val="bottom"/>
          </w:tcPr>
          <w:p>
            <w:pPr>
              <w:spacing w:after="0"/>
              <w:rPr>
                <w:sz w:val="1"/>
                <w:szCs w:val="1"/>
                <w:color w:val="auto"/>
              </w:rPr>
            </w:pPr>
          </w:p>
        </w:tc>
      </w:tr>
      <w:tr>
        <w:trPr>
          <w:trHeight w:val="223"/>
        </w:trPr>
        <w:tc>
          <w:tcPr>
            <w:tcW w:w="53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Total costs of revenue</w:t>
            </w: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32,919</w:t>
            </w:r>
          </w:p>
        </w:tc>
        <w:tc>
          <w:tcPr>
            <w:tcW w:w="1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23,796</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92,914</w:t>
            </w:r>
          </w:p>
        </w:tc>
        <w:tc>
          <w:tcPr>
            <w:tcW w:w="1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70,965</w:t>
            </w:r>
          </w:p>
        </w:tc>
        <w:tc>
          <w:tcPr>
            <w:tcW w:w="0" w:type="dxa"/>
            <w:vAlign w:val="bottom"/>
          </w:tcPr>
          <w:p>
            <w:pPr>
              <w:spacing w:after="0"/>
              <w:rPr>
                <w:sz w:val="1"/>
                <w:szCs w:val="1"/>
                <w:color w:val="auto"/>
              </w:rPr>
            </w:pPr>
          </w:p>
        </w:tc>
      </w:tr>
      <w:tr>
        <w:trPr>
          <w:trHeight w:val="223"/>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142,073</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127,421</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424,555</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373,921</w:t>
            </w:r>
          </w:p>
        </w:tc>
        <w:tc>
          <w:tcPr>
            <w:tcW w:w="0" w:type="dxa"/>
            <w:vAlign w:val="bottom"/>
          </w:tcPr>
          <w:p>
            <w:pPr>
              <w:spacing w:after="0"/>
              <w:rPr>
                <w:sz w:val="1"/>
                <w:szCs w:val="1"/>
                <w:color w:val="auto"/>
              </w:rPr>
            </w:pPr>
          </w:p>
        </w:tc>
      </w:tr>
      <w:tr>
        <w:trPr>
          <w:trHeight w:val="209"/>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360"/>
              <w:spacing w:after="0"/>
              <w:rPr>
                <w:sz w:val="20"/>
                <w:szCs w:val="20"/>
                <w:color w:val="auto"/>
              </w:rPr>
            </w:pPr>
            <w:r>
              <w:rPr>
                <w:rFonts w:ascii="Arial" w:cs="Arial" w:eastAsia="Arial" w:hAnsi="Arial"/>
                <w:sz w:val="18"/>
                <w:szCs w:val="18"/>
                <w:color w:val="auto"/>
              </w:rPr>
              <w:t>Sales and marketing</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38,612</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34,595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112,513</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9"/>
              </w:rPr>
              <w:t>100,768</w:t>
            </w:r>
          </w:p>
        </w:tc>
        <w:tc>
          <w:tcPr>
            <w:tcW w:w="0" w:type="dxa"/>
            <w:vAlign w:val="bottom"/>
          </w:tcPr>
          <w:p>
            <w:pPr>
              <w:spacing w:after="0"/>
              <w:rPr>
                <w:sz w:val="1"/>
                <w:szCs w:val="1"/>
                <w:color w:val="auto"/>
              </w:rPr>
            </w:pPr>
          </w:p>
        </w:tc>
      </w:tr>
      <w:tr>
        <w:trPr>
          <w:trHeight w:val="229"/>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Product development</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33,138</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28,650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98,396</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85,966</w:t>
            </w:r>
          </w:p>
        </w:tc>
        <w:tc>
          <w:tcPr>
            <w:tcW w:w="0" w:type="dxa"/>
            <w:vAlign w:val="bottom"/>
          </w:tcPr>
          <w:p>
            <w:pPr>
              <w:spacing w:after="0"/>
              <w:rPr>
                <w:sz w:val="1"/>
                <w:szCs w:val="1"/>
                <w:color w:val="auto"/>
              </w:rPr>
            </w:pPr>
          </w:p>
        </w:tc>
      </w:tr>
      <w:tr>
        <w:trPr>
          <w:trHeight w:val="229"/>
        </w:trPr>
        <w:tc>
          <w:tcPr>
            <w:tcW w:w="538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20,791</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20,141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61,046</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56,339</w:t>
            </w:r>
          </w:p>
        </w:tc>
        <w:tc>
          <w:tcPr>
            <w:tcW w:w="0" w:type="dxa"/>
            <w:vAlign w:val="bottom"/>
          </w:tcPr>
          <w:p>
            <w:pPr>
              <w:spacing w:after="0"/>
              <w:rPr>
                <w:sz w:val="1"/>
                <w:szCs w:val="1"/>
                <w:color w:val="auto"/>
              </w:rPr>
            </w:pPr>
          </w:p>
        </w:tc>
      </w:tr>
      <w:tr>
        <w:trPr>
          <w:trHeight w:val="230"/>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acquired intangibles</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17,668</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48,825</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35,330</w:t>
            </w:r>
          </w:p>
        </w:tc>
        <w:tc>
          <w:tcPr>
            <w:tcW w:w="0" w:type="dxa"/>
            <w:vAlign w:val="bottom"/>
          </w:tcPr>
          <w:p>
            <w:pPr>
              <w:spacing w:after="0"/>
              <w:rPr>
                <w:sz w:val="1"/>
                <w:szCs w:val="1"/>
                <w:color w:val="auto"/>
              </w:rPr>
            </w:pPr>
          </w:p>
        </w:tc>
      </w:tr>
      <w:tr>
        <w:trPr>
          <w:trHeight w:val="229"/>
        </w:trPr>
        <w:tc>
          <w:tcPr>
            <w:tcW w:w="5380" w:type="dxa"/>
            <w:vAlign w:val="bottom"/>
          </w:tcPr>
          <w:p>
            <w:pPr>
              <w:ind w:left="360"/>
              <w:spacing w:after="0"/>
              <w:rPr>
                <w:sz w:val="20"/>
                <w:szCs w:val="20"/>
                <w:color w:val="auto"/>
              </w:rPr>
            </w:pPr>
            <w:r>
              <w:rPr>
                <w:rFonts w:ascii="Arial" w:cs="Arial" w:eastAsia="Arial" w:hAnsi="Arial"/>
                <w:sz w:val="18"/>
                <w:szCs w:val="18"/>
                <w:color w:val="auto"/>
              </w:rPr>
              <w:t>Cyber incident and vulnerability response expenses, net</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951</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5,126</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Restructuring expenses</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6,230</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230"/>
        </w:trPr>
        <w:tc>
          <w:tcPr>
            <w:tcW w:w="5380" w:type="dxa"/>
            <w:vAlign w:val="bottom"/>
          </w:tcPr>
          <w:p>
            <w:pPr>
              <w:ind w:left="360"/>
              <w:spacing w:after="0"/>
              <w:rPr>
                <w:sz w:val="20"/>
                <w:szCs w:val="20"/>
                <w:color w:val="auto"/>
              </w:rPr>
            </w:pPr>
            <w:r>
              <w:rPr>
                <w:rFonts w:ascii="Arial" w:cs="Arial" w:eastAsia="Arial" w:hAnsi="Arial"/>
                <w:sz w:val="18"/>
                <w:szCs w:val="18"/>
                <w:color w:val="auto"/>
              </w:rPr>
              <w:t>Acquisition-related expenses</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699</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4,433</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3,816</w:t>
            </w:r>
          </w:p>
        </w:tc>
        <w:tc>
          <w:tcPr>
            <w:tcW w:w="0" w:type="dxa"/>
            <w:vAlign w:val="bottom"/>
          </w:tcPr>
          <w:p>
            <w:pPr>
              <w:spacing w:after="0"/>
              <w:rPr>
                <w:sz w:val="1"/>
                <w:szCs w:val="1"/>
                <w:color w:val="auto"/>
              </w:rPr>
            </w:pPr>
          </w:p>
        </w:tc>
      </w:tr>
      <w:tr>
        <w:trPr>
          <w:trHeight w:val="229"/>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on sale of assets held for sale</w:t>
            </w: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(10,770)</w:t>
            </w:r>
          </w:p>
        </w:tc>
        <w:tc>
          <w:tcPr>
            <w:tcW w:w="0" w:type="dxa"/>
            <w:vAlign w:val="bottom"/>
          </w:tcPr>
          <w:p>
            <w:pPr>
              <w:spacing w:after="0"/>
              <w:rPr>
                <w:sz w:val="1"/>
                <w:szCs w:val="1"/>
                <w:color w:val="auto"/>
              </w:rPr>
            </w:pPr>
          </w:p>
        </w:tc>
      </w:tr>
      <w:tr>
        <w:trPr>
          <w:trHeight w:val="223"/>
        </w:trPr>
        <w:tc>
          <w:tcPr>
            <w:tcW w:w="5380" w:type="dxa"/>
            <w:vAlign w:val="bottom"/>
            <w:tcBorders>
              <w:bottom w:val="single" w:sz="8" w:color="CCEEFF"/>
            </w:tcBorders>
          </w:tcPr>
          <w:p>
            <w:pPr>
              <w:ind w:left="112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112,702</w:t>
            </w:r>
          </w:p>
        </w:tc>
        <w:tc>
          <w:tcPr>
            <w:tcW w:w="100" w:type="dxa"/>
            <w:vAlign w:val="bottom"/>
            <w:tcBorders>
              <w:bottom w:val="single" w:sz="8" w:color="CCEEFF"/>
            </w:tcBorders>
          </w:tcPr>
          <w:p>
            <w:pPr>
              <w:spacing w:after="0"/>
              <w:rPr>
                <w:sz w:val="19"/>
                <w:szCs w:val="19"/>
                <w:color w:val="auto"/>
              </w:rPr>
            </w:pPr>
          </w:p>
        </w:tc>
        <w:tc>
          <w:tcPr>
            <w:tcW w:w="72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95,400</w:t>
            </w:r>
          </w:p>
        </w:tc>
        <w:tc>
          <w:tcPr>
            <w:tcW w:w="12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336,569</w:t>
            </w:r>
          </w:p>
        </w:tc>
        <w:tc>
          <w:tcPr>
            <w:tcW w:w="100" w:type="dxa"/>
            <w:vAlign w:val="bottom"/>
            <w:tcBorders>
              <w:bottom w:val="single" w:sz="8" w:color="CCEEFF"/>
            </w:tcBorders>
          </w:tcPr>
          <w:p>
            <w:pPr>
              <w:spacing w:after="0"/>
              <w:rPr>
                <w:sz w:val="19"/>
                <w:szCs w:val="19"/>
                <w:color w:val="auto"/>
              </w:rPr>
            </w:pPr>
          </w:p>
        </w:tc>
        <w:tc>
          <w:tcPr>
            <w:tcW w:w="72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272,233</w:t>
            </w:r>
          </w:p>
        </w:tc>
        <w:tc>
          <w:tcPr>
            <w:tcW w:w="0" w:type="dxa"/>
            <w:vAlign w:val="bottom"/>
          </w:tcPr>
          <w:p>
            <w:pPr>
              <w:spacing w:after="0"/>
              <w:rPr>
                <w:sz w:val="1"/>
                <w:szCs w:val="1"/>
                <w:color w:val="auto"/>
              </w:rPr>
            </w:pPr>
          </w:p>
        </w:tc>
      </w:tr>
      <w:tr>
        <w:trPr>
          <w:trHeight w:val="223"/>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29,371</w:t>
            </w:r>
          </w:p>
        </w:tc>
        <w:tc>
          <w:tcPr>
            <w:tcW w:w="1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32,021</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87,986</w:t>
            </w:r>
          </w:p>
        </w:tc>
        <w:tc>
          <w:tcPr>
            <w:tcW w:w="1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101,688</w:t>
            </w:r>
          </w:p>
        </w:tc>
        <w:tc>
          <w:tcPr>
            <w:tcW w:w="0" w:type="dxa"/>
            <w:vAlign w:val="bottom"/>
          </w:tcPr>
          <w:p>
            <w:pPr>
              <w:spacing w:after="0"/>
              <w:rPr>
                <w:sz w:val="1"/>
                <w:szCs w:val="1"/>
                <w:color w:val="auto"/>
              </w:rPr>
            </w:pPr>
          </w:p>
        </w:tc>
      </w:tr>
      <w:tr>
        <w:trPr>
          <w:trHeight w:val="210"/>
        </w:trPr>
        <w:tc>
          <w:tcPr>
            <w:tcW w:w="5380" w:type="dxa"/>
            <w:vAlign w:val="bottom"/>
          </w:tcPr>
          <w:p>
            <w:pPr>
              <w:ind w:left="20"/>
              <w:spacing w:after="0"/>
              <w:rPr>
                <w:sz w:val="20"/>
                <w:szCs w:val="20"/>
                <w:color w:val="auto"/>
              </w:rPr>
            </w:pPr>
            <w:r>
              <w:rPr>
                <w:rFonts w:ascii="Arial" w:cs="Arial" w:eastAsia="Arial" w:hAnsi="Arial"/>
                <w:sz w:val="18"/>
                <w:szCs w:val="18"/>
                <w:color w:val="auto"/>
              </w:rPr>
              <w:t>Other (expense) income:</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(8,532)</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(22,894)</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(11,368)</w:t>
            </w:r>
          </w:p>
        </w:tc>
        <w:tc>
          <w:tcPr>
            <w:tcW w:w="0" w:type="dxa"/>
            <w:vAlign w:val="bottom"/>
          </w:tcPr>
          <w:p>
            <w:pPr>
              <w:spacing w:after="0"/>
              <w:rPr>
                <w:sz w:val="1"/>
                <w:szCs w:val="1"/>
                <w:color w:val="auto"/>
              </w:rPr>
            </w:pPr>
          </w:p>
        </w:tc>
      </w:tr>
      <w:tr>
        <w:trPr>
          <w:trHeight w:val="230"/>
        </w:trPr>
        <w:tc>
          <w:tcPr>
            <w:tcW w:w="5380" w:type="dxa"/>
            <w:vAlign w:val="bottom"/>
          </w:tcPr>
          <w:p>
            <w:pPr>
              <w:ind w:left="360"/>
              <w:spacing w:after="0"/>
              <w:rPr>
                <w:sz w:val="20"/>
                <w:szCs w:val="20"/>
                <w:color w:val="auto"/>
              </w:rPr>
            </w:pPr>
            <w:r>
              <w:rPr>
                <w:rFonts w:ascii="Arial" w:cs="Arial" w:eastAsia="Arial" w:hAnsi="Arial"/>
                <w:sz w:val="18"/>
                <w:szCs w:val="18"/>
                <w:color w:val="auto"/>
              </w:rPr>
              <w:t>Interest income and other, net</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788</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1,895</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30"/>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loss, net</w:t>
            </w: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1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(1,502)</w:t>
            </w:r>
          </w:p>
        </w:tc>
        <w:tc>
          <w:tcPr>
            <w:tcW w:w="1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0" w:type="dxa"/>
            <w:vAlign w:val="bottom"/>
          </w:tcPr>
          <w:p>
            <w:pPr>
              <w:spacing w:after="0"/>
              <w:rPr>
                <w:sz w:val="1"/>
                <w:szCs w:val="1"/>
                <w:color w:val="auto"/>
              </w:rPr>
            </w:pPr>
          </w:p>
        </w:tc>
      </w:tr>
      <w:tr>
        <w:trPr>
          <w:trHeight w:val="223"/>
        </w:trPr>
        <w:tc>
          <w:tcPr>
            <w:tcW w:w="5380" w:type="dxa"/>
            <w:vAlign w:val="bottom"/>
            <w:tcBorders>
              <w:bottom w:val="single" w:sz="8" w:color="CCEEFF"/>
            </w:tcBorders>
          </w:tcPr>
          <w:p>
            <w:pPr>
              <w:ind w:left="1120"/>
              <w:spacing w:after="0"/>
              <w:rPr>
                <w:sz w:val="20"/>
                <w:szCs w:val="20"/>
                <w:color w:val="auto"/>
              </w:rPr>
            </w:pPr>
            <w:r>
              <w:rPr>
                <w:rFonts w:ascii="Arial" w:cs="Arial" w:eastAsia="Arial" w:hAnsi="Arial"/>
                <w:sz w:val="18"/>
                <w:szCs w:val="18"/>
                <w:color w:val="auto"/>
              </w:rPr>
              <w:t>Total other expense, net</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(8,419)</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(4,339)</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(22,501)</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(11,209)</w:t>
            </w:r>
          </w:p>
        </w:tc>
        <w:tc>
          <w:tcPr>
            <w:tcW w:w="0" w:type="dxa"/>
            <w:vAlign w:val="bottom"/>
          </w:tcPr>
          <w:p>
            <w:pPr>
              <w:spacing w:after="0"/>
              <w:rPr>
                <w:sz w:val="1"/>
                <w:szCs w:val="1"/>
                <w:color w:val="auto"/>
              </w:rPr>
            </w:pPr>
          </w:p>
        </w:tc>
      </w:tr>
      <w:tr>
        <w:trPr>
          <w:trHeight w:val="223"/>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20,952</w:t>
            </w:r>
          </w:p>
        </w:tc>
        <w:tc>
          <w:tcPr>
            <w:tcW w:w="1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27,682</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65,485</w:t>
            </w:r>
          </w:p>
        </w:tc>
        <w:tc>
          <w:tcPr>
            <w:tcW w:w="1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90,479</w:t>
            </w:r>
          </w:p>
        </w:tc>
        <w:tc>
          <w:tcPr>
            <w:tcW w:w="0" w:type="dxa"/>
            <w:vAlign w:val="bottom"/>
          </w:tcPr>
          <w:p>
            <w:pPr>
              <w:spacing w:after="0"/>
              <w:rPr>
                <w:sz w:val="1"/>
                <w:szCs w:val="1"/>
                <w:color w:val="auto"/>
              </w:rPr>
            </w:pPr>
          </w:p>
        </w:tc>
      </w:tr>
      <w:tr>
        <w:trPr>
          <w:trHeight w:val="223"/>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1,854</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5,885</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10,623</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19,118</w:t>
            </w:r>
          </w:p>
        </w:tc>
        <w:tc>
          <w:tcPr>
            <w:tcW w:w="0" w:type="dxa"/>
            <w:vAlign w:val="bottom"/>
          </w:tcPr>
          <w:p>
            <w:pPr>
              <w:spacing w:after="0"/>
              <w:rPr>
                <w:sz w:val="1"/>
                <w:szCs w:val="1"/>
                <w:color w:val="auto"/>
              </w:rPr>
            </w:pPr>
          </w:p>
        </w:tc>
      </w:tr>
      <w:tr>
        <w:trPr>
          <w:trHeight w:val="248"/>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19,098</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21,797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54,862</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71,361</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Earnings per share:</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3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29"/>
        </w:trPr>
        <w:tc>
          <w:tcPr>
            <w:tcW w:w="5380" w:type="dxa"/>
            <w:vAlign w:val="bottom"/>
          </w:tcPr>
          <w:p>
            <w:pPr>
              <w:ind w:left="480"/>
              <w:spacing w:after="0"/>
              <w:rPr>
                <w:sz w:val="20"/>
                <w:szCs w:val="20"/>
                <w:color w:val="auto"/>
              </w:rPr>
            </w:pPr>
            <w:r>
              <w:rPr>
                <w:rFonts w:ascii="Arial" w:cs="Arial" w:eastAsia="Arial" w:hAnsi="Arial"/>
                <w:sz w:val="18"/>
                <w:szCs w:val="18"/>
                <w:color w:val="auto"/>
              </w:rPr>
              <w:t>Diluted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0.42</w:t>
            </w:r>
          </w:p>
        </w:tc>
        <w:tc>
          <w:tcPr>
            <w:tcW w:w="100" w:type="dxa"/>
            <w:vAlign w:val="bottom"/>
          </w:tcPr>
          <w:p>
            <w:pPr>
              <w:spacing w:after="0"/>
              <w:rPr>
                <w:sz w:val="19"/>
                <w:szCs w:val="19"/>
                <w:color w:val="auto"/>
              </w:rPr>
            </w:pPr>
          </w:p>
        </w:tc>
        <w:tc>
          <w:tcPr>
            <w:tcW w:w="720" w:type="dxa"/>
            <w:vAlign w:val="bottom"/>
          </w:tcPr>
          <w:p>
            <w:pPr>
              <w:jc w:val="right"/>
              <w:ind w:right="51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0.50</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c>
          <w:tcPr>
            <w:tcW w:w="720" w:type="dxa"/>
            <w:vAlign w:val="bottom"/>
          </w:tcPr>
          <w:p>
            <w:pPr>
              <w:jc w:val="right"/>
              <w:ind w:right="5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30"/>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480"/>
              <w:spacing w:after="0"/>
              <w:rPr>
                <w:sz w:val="20"/>
                <w:szCs w:val="20"/>
                <w:color w:val="auto"/>
              </w:rPr>
            </w:pPr>
            <w:r>
              <w:rPr>
                <w:rFonts w:ascii="Arial" w:cs="Arial" w:eastAsia="Arial" w:hAnsi="Arial"/>
                <w:sz w:val="18"/>
                <w:szCs w:val="18"/>
                <w:color w:val="auto"/>
              </w:rPr>
              <w:t>Basic</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43,452</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43,211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43,365</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43,589</w:t>
            </w:r>
          </w:p>
        </w:tc>
        <w:tc>
          <w:tcPr>
            <w:tcW w:w="0" w:type="dxa"/>
            <w:vAlign w:val="bottom"/>
          </w:tcPr>
          <w:p>
            <w:pPr>
              <w:spacing w:after="0"/>
              <w:rPr>
                <w:sz w:val="1"/>
                <w:szCs w:val="1"/>
                <w:color w:val="auto"/>
              </w:rPr>
            </w:pPr>
          </w:p>
        </w:tc>
      </w:tr>
      <w:tr>
        <w:trPr>
          <w:trHeight w:val="230"/>
        </w:trPr>
        <w:tc>
          <w:tcPr>
            <w:tcW w:w="53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44,981</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43,935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44,543</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44,299</w:t>
            </w:r>
          </w:p>
        </w:tc>
        <w:tc>
          <w:tcPr>
            <w:tcW w:w="0" w:type="dxa"/>
            <w:vAlign w:val="bottom"/>
          </w:tcPr>
          <w:p>
            <w:pPr>
              <w:spacing w:after="0"/>
              <w:rPr>
                <w:sz w:val="1"/>
                <w:szCs w:val="1"/>
                <w:color w:val="auto"/>
              </w:rPr>
            </w:pPr>
          </w:p>
        </w:tc>
      </w:tr>
      <w:tr>
        <w:trPr>
          <w:trHeight w:val="256"/>
        </w:trPr>
        <w:tc>
          <w:tcPr>
            <w:tcW w:w="5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dividends declared per common share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0.175</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0.525</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0.525</w:t>
            </w:r>
          </w:p>
        </w:tc>
        <w:tc>
          <w:tcPr>
            <w:tcW w:w="0" w:type="dxa"/>
            <w:vAlign w:val="bottom"/>
          </w:tcPr>
          <w:p>
            <w:pPr>
              <w:spacing w:after="0"/>
              <w:rPr>
                <w:sz w:val="1"/>
                <w:szCs w:val="1"/>
                <w:color w:val="auto"/>
              </w:rPr>
            </w:pPr>
          </w:p>
        </w:tc>
      </w:tr>
      <w:tr>
        <w:trPr>
          <w:trHeight w:val="378"/>
        </w:trPr>
        <w:tc>
          <w:tcPr>
            <w:tcW w:w="5380" w:type="dxa"/>
            <w:vAlign w:val="bottom"/>
          </w:tcPr>
          <w:p>
            <w:pPr>
              <w:spacing w:after="0"/>
              <w:rPr>
                <w:sz w:val="20"/>
                <w:szCs w:val="20"/>
                <w:color w:val="auto"/>
              </w:rPr>
            </w:pPr>
            <w:r>
              <w:rPr>
                <w:rFonts w:ascii="Arial" w:cs="Arial" w:eastAsia="Arial" w:hAnsi="Arial"/>
                <w:sz w:val="18"/>
                <w:szCs w:val="18"/>
                <w:color w:val="auto"/>
                <w:w w:val="96"/>
              </w:rPr>
              <w:t>See notes to unaudited condensed consolidated financial statements.</w:t>
            </w: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9"/>
        </w:trPr>
        <w:tc>
          <w:tcPr>
            <w:tcW w:w="5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jc w:val="right"/>
              <w:ind w:right="1010"/>
              <w:spacing w:after="0"/>
              <w:rPr>
                <w:sz w:val="20"/>
                <w:szCs w:val="20"/>
                <w:color w:val="auto"/>
              </w:rPr>
            </w:pPr>
            <w:r>
              <w:rPr>
                <w:rFonts w:ascii="Arial" w:cs="Arial" w:eastAsia="Arial" w:hAnsi="Arial"/>
                <w:sz w:val="18"/>
                <w:szCs w:val="18"/>
                <w:color w:val="auto"/>
                <w:w w:val="99"/>
              </w:rPr>
              <w:t>4</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3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6480" w:type="dxa"/>
            <w:vAlign w:val="bottom"/>
            <w:gridSpan w:val="2"/>
          </w:tcPr>
          <w:p>
            <w:pPr>
              <w:spacing w:after="0"/>
              <w:rPr>
                <w:sz w:val="20"/>
                <w:szCs w:val="20"/>
                <w:color w:val="auto"/>
              </w:rPr>
            </w:pPr>
            <w:r>
              <w:rPr>
                <w:rFonts w:ascii="Arial" w:cs="Arial" w:eastAsia="Arial" w:hAnsi="Arial"/>
                <w:sz w:val="18"/>
                <w:szCs w:val="18"/>
                <w:b w:val="1"/>
                <w:bCs w:val="1"/>
                <w:color w:val="auto"/>
              </w:rPr>
              <w:t>Condensed Consolidated Statements of Comprehensive Income</w:t>
            </w: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60" w:type="dxa"/>
            <w:vAlign w:val="bottom"/>
          </w:tcPr>
          <w:p>
            <w:pPr>
              <w:spacing w:after="0"/>
              <w:rPr>
                <w:sz w:val="22"/>
                <w:szCs w:val="22"/>
                <w:color w:val="auto"/>
              </w:rPr>
            </w:pPr>
          </w:p>
        </w:tc>
        <w:tc>
          <w:tcPr>
            <w:tcW w:w="6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160" w:type="dxa"/>
            <w:vAlign w:val="bottom"/>
            <w:gridSpan w:val="5"/>
          </w:tcPr>
          <w:p>
            <w:pPr>
              <w:ind w:left="220"/>
              <w:spacing w:after="0"/>
              <w:rPr>
                <w:sz w:val="20"/>
                <w:szCs w:val="20"/>
                <w:color w:val="auto"/>
              </w:rPr>
            </w:pPr>
            <w:r>
              <w:rPr>
                <w:rFonts w:ascii="Arial" w:cs="Arial" w:eastAsia="Arial" w:hAnsi="Arial"/>
                <w:sz w:val="18"/>
                <w:szCs w:val="18"/>
                <w:color w:val="auto"/>
              </w:rPr>
              <w:t>Three Months Ended</w:t>
            </w:r>
          </w:p>
        </w:tc>
        <w:tc>
          <w:tcPr>
            <w:tcW w:w="120" w:type="dxa"/>
            <w:vAlign w:val="bottom"/>
          </w:tcPr>
          <w:p>
            <w:pPr>
              <w:spacing w:after="0"/>
              <w:rPr>
                <w:sz w:val="22"/>
                <w:szCs w:val="22"/>
                <w:color w:val="auto"/>
              </w:rPr>
            </w:pPr>
          </w:p>
        </w:tc>
        <w:tc>
          <w:tcPr>
            <w:tcW w:w="2100" w:type="dxa"/>
            <w:vAlign w:val="bottom"/>
            <w:gridSpan w:val="4"/>
          </w:tcPr>
          <w:p>
            <w:pPr>
              <w:jc w:val="right"/>
              <w:ind w:right="29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gridSpan w:val="2"/>
          </w:tcPr>
          <w:p>
            <w:pPr>
              <w:spacing w:after="0" w:line="169" w:lineRule="exact"/>
              <w:rPr>
                <w:sz w:val="20"/>
                <w:szCs w:val="20"/>
                <w:color w:val="auto"/>
              </w:rPr>
            </w:pPr>
            <w:r>
              <w:rPr>
                <w:rFonts w:ascii="Arial" w:cs="Arial" w:eastAsia="Arial" w:hAnsi="Arial"/>
                <w:sz w:val="18"/>
                <w:szCs w:val="18"/>
                <w:color w:val="auto"/>
              </w:rPr>
              <w:t>August 31,</w:t>
            </w:r>
          </w:p>
        </w:tc>
        <w:tc>
          <w:tcPr>
            <w:tcW w:w="1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ind w:right="50"/>
              <w:spacing w:after="0" w:line="169" w:lineRule="exact"/>
              <w:rPr>
                <w:sz w:val="20"/>
                <w:szCs w:val="20"/>
                <w:color w:val="auto"/>
              </w:rPr>
            </w:pPr>
            <w:r>
              <w:rPr>
                <w:rFonts w:ascii="Arial" w:cs="Arial" w:eastAsia="Arial" w:hAnsi="Arial"/>
                <w:sz w:val="18"/>
                <w:szCs w:val="18"/>
                <w:color w:val="auto"/>
                <w:w w:val="90"/>
              </w:rPr>
              <w:t>August 31,</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gridSpan w:val="2"/>
          </w:tcPr>
          <w:p>
            <w:pPr>
              <w:ind w:left="20"/>
              <w:spacing w:after="0" w:line="169" w:lineRule="exact"/>
              <w:rPr>
                <w:sz w:val="20"/>
                <w:szCs w:val="20"/>
                <w:color w:val="auto"/>
              </w:rPr>
            </w:pPr>
            <w:r>
              <w:rPr>
                <w:rFonts w:ascii="Arial" w:cs="Arial" w:eastAsia="Arial" w:hAnsi="Arial"/>
                <w:sz w:val="18"/>
                <w:szCs w:val="18"/>
                <w:color w:val="auto"/>
              </w:rPr>
              <w:t>August 31,</w:t>
            </w:r>
          </w:p>
        </w:tc>
        <w:tc>
          <w:tcPr>
            <w:tcW w:w="1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ind w:right="50"/>
              <w:spacing w:after="0" w:line="169" w:lineRule="exact"/>
              <w:rPr>
                <w:sz w:val="20"/>
                <w:szCs w:val="20"/>
                <w:color w:val="auto"/>
              </w:rPr>
            </w:pPr>
            <w:r>
              <w:rPr>
                <w:rFonts w:ascii="Arial" w:cs="Arial" w:eastAsia="Arial" w:hAnsi="Arial"/>
                <w:sz w:val="18"/>
                <w:szCs w:val="18"/>
                <w:color w:val="auto"/>
                <w:w w:val="90"/>
              </w:rPr>
              <w:t>August 31,</w:t>
            </w:r>
          </w:p>
        </w:tc>
        <w:tc>
          <w:tcPr>
            <w:tcW w:w="0" w:type="dxa"/>
            <w:vAlign w:val="bottom"/>
          </w:tcPr>
          <w:p>
            <w:pPr>
              <w:spacing w:after="0"/>
              <w:rPr>
                <w:sz w:val="1"/>
                <w:szCs w:val="1"/>
                <w:color w:val="auto"/>
              </w:rPr>
            </w:pPr>
          </w:p>
        </w:tc>
      </w:tr>
      <w:tr>
        <w:trPr>
          <w:trHeight w:val="237"/>
        </w:trPr>
        <w:tc>
          <w:tcPr>
            <w:tcW w:w="260" w:type="dxa"/>
            <w:vAlign w:val="bottom"/>
          </w:tcPr>
          <w:p>
            <w:pPr>
              <w:spacing w:after="0"/>
              <w:rPr>
                <w:sz w:val="20"/>
                <w:szCs w:val="20"/>
                <w:color w:val="auto"/>
              </w:rPr>
            </w:pPr>
          </w:p>
        </w:tc>
        <w:tc>
          <w:tcPr>
            <w:tcW w:w="6220" w:type="dxa"/>
            <w:vAlign w:val="bottom"/>
            <w:tcBorders>
              <w:bottom w:val="single" w:sz="8" w:color="CCEEFF"/>
            </w:tcBorders>
          </w:tcPr>
          <w:p>
            <w:pPr>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2023</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2022</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21,797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54,862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71,361</w:t>
            </w: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6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translation adjustments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(10,955)</w:t>
            </w:r>
          </w:p>
        </w:tc>
        <w:tc>
          <w:tcPr>
            <w:tcW w:w="0" w:type="dxa"/>
            <w:vAlign w:val="bottom"/>
          </w:tcPr>
          <w:p>
            <w:pPr>
              <w:spacing w:after="0"/>
              <w:rPr>
                <w:sz w:val="1"/>
                <w:szCs w:val="1"/>
                <w:color w:val="auto"/>
              </w:rPr>
            </w:pPr>
          </w:p>
        </w:tc>
      </w:tr>
      <w:tr>
        <w:trPr>
          <w:trHeight w:val="176"/>
        </w:trPr>
        <w:tc>
          <w:tcPr>
            <w:tcW w:w="260" w:type="dxa"/>
            <w:vAlign w:val="bottom"/>
          </w:tcPr>
          <w:p>
            <w:pPr>
              <w:spacing w:after="0"/>
              <w:rPr>
                <w:sz w:val="15"/>
                <w:szCs w:val="15"/>
                <w:color w:val="auto"/>
              </w:rPr>
            </w:pPr>
          </w:p>
        </w:tc>
        <w:tc>
          <w:tcPr>
            <w:tcW w:w="6220" w:type="dxa"/>
            <w:vAlign w:val="bottom"/>
          </w:tcPr>
          <w:p>
            <w:pPr>
              <w:ind w:left="220"/>
              <w:spacing w:after="0" w:line="176" w:lineRule="exact"/>
              <w:rPr>
                <w:sz w:val="20"/>
                <w:szCs w:val="20"/>
                <w:color w:val="auto"/>
              </w:rPr>
            </w:pPr>
            <w:r>
              <w:rPr>
                <w:rFonts w:ascii="Arial" w:cs="Arial" w:eastAsia="Arial" w:hAnsi="Arial"/>
                <w:sz w:val="18"/>
                <w:szCs w:val="18"/>
                <w:color w:val="auto"/>
                <w:w w:val="93"/>
              </w:rPr>
              <w:t>Unrealized (loss) gain on hedging activity, net of tax benefit of $170 and $465 for</w:t>
            </w: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60" w:type="dxa"/>
            <w:vAlign w:val="bottom"/>
          </w:tcPr>
          <w:p>
            <w:pPr>
              <w:spacing w:after="0"/>
              <w:rPr>
                <w:sz w:val="16"/>
                <w:szCs w:val="16"/>
                <w:color w:val="auto"/>
              </w:rPr>
            </w:pPr>
          </w:p>
        </w:tc>
        <w:tc>
          <w:tcPr>
            <w:tcW w:w="6220" w:type="dxa"/>
            <w:vAlign w:val="bottom"/>
          </w:tcPr>
          <w:p>
            <w:pPr>
              <w:ind w:left="220"/>
              <w:spacing w:after="0" w:line="189" w:lineRule="exact"/>
              <w:rPr>
                <w:sz w:val="20"/>
                <w:szCs w:val="20"/>
                <w:color w:val="auto"/>
              </w:rPr>
            </w:pPr>
            <w:r>
              <w:rPr>
                <w:rFonts w:ascii="Arial" w:cs="Arial" w:eastAsia="Arial" w:hAnsi="Arial"/>
                <w:sz w:val="18"/>
                <w:szCs w:val="18"/>
                <w:color w:val="auto"/>
                <w:w w:val="92"/>
              </w:rPr>
              <w:t>the three and nine month periods ended August 31, 2023, respectively and net of</w:t>
            </w: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60" w:type="dxa"/>
            <w:vAlign w:val="bottom"/>
          </w:tcPr>
          <w:p>
            <w:pPr>
              <w:spacing w:after="0"/>
              <w:rPr>
                <w:sz w:val="15"/>
                <w:szCs w:val="15"/>
                <w:color w:val="auto"/>
              </w:rPr>
            </w:pPr>
          </w:p>
        </w:tc>
        <w:tc>
          <w:tcPr>
            <w:tcW w:w="6220" w:type="dxa"/>
            <w:vAlign w:val="bottom"/>
          </w:tcPr>
          <w:p>
            <w:pPr>
              <w:ind w:left="220"/>
              <w:spacing w:after="0" w:line="176" w:lineRule="exact"/>
              <w:rPr>
                <w:sz w:val="20"/>
                <w:szCs w:val="20"/>
                <w:color w:val="auto"/>
              </w:rPr>
            </w:pPr>
            <w:r>
              <w:rPr>
                <w:rFonts w:ascii="Arial" w:cs="Arial" w:eastAsia="Arial" w:hAnsi="Arial"/>
                <w:sz w:val="18"/>
                <w:szCs w:val="18"/>
                <w:color w:val="auto"/>
                <w:w w:val="97"/>
              </w:rPr>
              <w:t>tax provision of $377 and $1,542 for the three and nine month periods ended</w:t>
            </w:r>
          </w:p>
        </w:tc>
        <w:tc>
          <w:tcPr>
            <w:tcW w:w="14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(537)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1,191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(1,476)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4,882</w:t>
            </w: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6220" w:type="dxa"/>
            <w:vAlign w:val="bottom"/>
          </w:tcPr>
          <w:p>
            <w:pPr>
              <w:ind w:left="220"/>
              <w:spacing w:after="0"/>
              <w:rPr>
                <w:sz w:val="20"/>
                <w:szCs w:val="20"/>
                <w:color w:val="auto"/>
              </w:rPr>
            </w:pPr>
            <w:r>
              <w:rPr>
                <w:rFonts w:ascii="Arial" w:cs="Arial" w:eastAsia="Arial" w:hAnsi="Arial"/>
                <w:sz w:val="18"/>
                <w:szCs w:val="18"/>
                <w:color w:val="auto"/>
              </w:rPr>
              <w:t>August 31, 2022, respectively</w:t>
            </w:r>
          </w:p>
        </w:tc>
        <w:tc>
          <w:tcPr>
            <w:tcW w:w="14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62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1"/>
              </w:rPr>
              <w:t>Unrealized loss on investments, net of tax benefit of $0 for both the three and nine</w:t>
            </w: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60" w:type="dxa"/>
            <w:vAlign w:val="bottom"/>
          </w:tcPr>
          <w:p>
            <w:pPr>
              <w:spacing w:after="0"/>
              <w:rPr>
                <w:sz w:val="16"/>
                <w:szCs w:val="16"/>
                <w:color w:val="auto"/>
              </w:rPr>
            </w:pPr>
          </w:p>
        </w:tc>
        <w:tc>
          <w:tcPr>
            <w:tcW w:w="622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w w:val="92"/>
              </w:rPr>
              <w:t>month periods ended August 31, 2023, respectively and net of tax of $0 and a tax</w:t>
            </w: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60" w:type="dxa"/>
            <w:vAlign w:val="bottom"/>
          </w:tcPr>
          <w:p>
            <w:pPr>
              <w:spacing w:after="0"/>
              <w:rPr>
                <w:sz w:val="15"/>
                <w:szCs w:val="15"/>
                <w:color w:val="auto"/>
              </w:rPr>
            </w:pPr>
          </w:p>
        </w:tc>
        <w:tc>
          <w:tcPr>
            <w:tcW w:w="62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benefit of $4 for the three and nine month periods ended August 31, 2022,</w:t>
            </w:r>
          </w:p>
        </w:tc>
        <w:tc>
          <w:tcPr>
            <w:tcW w:w="14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6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respectively</w:t>
            </w:r>
          </w:p>
        </w:tc>
        <w:tc>
          <w:tcPr>
            <w:tcW w:w="14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622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other comprehensive income (loss), net of tax</w:t>
            </w:r>
          </w:p>
        </w:tc>
        <w:tc>
          <w:tcPr>
            <w:tcW w:w="1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1,130</w:t>
            </w:r>
          </w:p>
        </w:tc>
        <w:tc>
          <w:tcPr>
            <w:tcW w:w="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(6,442)</w:t>
            </w:r>
          </w:p>
        </w:tc>
        <w:tc>
          <w:tcPr>
            <w:tcW w:w="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3,648</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(6,086)</w:t>
            </w:r>
          </w:p>
        </w:tc>
        <w:tc>
          <w:tcPr>
            <w:tcW w:w="0" w:type="dxa"/>
            <w:vAlign w:val="bottom"/>
          </w:tcPr>
          <w:p>
            <w:pPr>
              <w:spacing w:after="0"/>
              <w:rPr>
                <w:sz w:val="1"/>
                <w:szCs w:val="1"/>
                <w:color w:val="auto"/>
              </w:rPr>
            </w:pPr>
          </w:p>
        </w:tc>
      </w:tr>
      <w:tr>
        <w:trPr>
          <w:trHeight w:val="248"/>
        </w:trPr>
        <w:tc>
          <w:tcPr>
            <w:tcW w:w="260" w:type="dxa"/>
            <w:vAlign w:val="bottom"/>
          </w:tcPr>
          <w:p>
            <w:pPr>
              <w:spacing w:after="0"/>
              <w:rPr>
                <w:sz w:val="21"/>
                <w:szCs w:val="21"/>
                <w:color w:val="auto"/>
              </w:rPr>
            </w:pPr>
          </w:p>
        </w:tc>
        <w:tc>
          <w:tcPr>
            <w:tcW w:w="6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20,228</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15,355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58,510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65,275</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6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891" w:right="57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5840" w:type="dxa"/>
            <w:vAlign w:val="bottom"/>
            <w:gridSpan w:val="3"/>
          </w:tcPr>
          <w:p>
            <w:pPr>
              <w:ind w:left="660"/>
              <w:spacing w:after="0"/>
              <w:rPr>
                <w:sz w:val="20"/>
                <w:szCs w:val="20"/>
                <w:color w:val="auto"/>
              </w:rPr>
            </w:pPr>
            <w:r>
              <w:rPr>
                <w:rFonts w:ascii="Arial" w:cs="Arial" w:eastAsia="Arial" w:hAnsi="Arial"/>
                <w:sz w:val="18"/>
                <w:szCs w:val="18"/>
                <w:b w:val="1"/>
                <w:bCs w:val="1"/>
                <w:color w:val="auto"/>
                <w:w w:val="98"/>
              </w:rPr>
              <w:t>Condensed Consolidated Statements of Stockholders’ Equity</w:t>
            </w: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476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gridSpan w:val="11"/>
          </w:tcPr>
          <w:p>
            <w:pPr>
              <w:jc w:val="center"/>
              <w:ind w:right="220"/>
              <w:spacing w:after="0"/>
              <w:rPr>
                <w:sz w:val="20"/>
                <w:szCs w:val="20"/>
                <w:color w:val="auto"/>
              </w:rPr>
            </w:pPr>
            <w:r>
              <w:rPr>
                <w:rFonts w:ascii="Arial" w:cs="Arial" w:eastAsia="Arial" w:hAnsi="Arial"/>
                <w:sz w:val="18"/>
                <w:szCs w:val="18"/>
                <w:color w:val="auto"/>
                <w:w w:val="91"/>
              </w:rPr>
              <w:t>Nine Months Ended August 31, 2023</w:t>
            </w: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4760" w:type="dxa"/>
            <w:vAlign w:val="bottom"/>
          </w:tcPr>
          <w:p>
            <w:pPr>
              <w:spacing w:after="0"/>
              <w:rPr>
                <w:sz w:val="15"/>
                <w:szCs w:val="15"/>
                <w:color w:val="auto"/>
              </w:rPr>
            </w:pPr>
          </w:p>
        </w:tc>
        <w:tc>
          <w:tcPr>
            <w:tcW w:w="2160" w:type="dxa"/>
            <w:vAlign w:val="bottom"/>
            <w:gridSpan w:val="5"/>
            <w:vMerge w:val="restart"/>
          </w:tcPr>
          <w:p>
            <w:pPr>
              <w:ind w:left="480"/>
              <w:spacing w:after="0"/>
              <w:rPr>
                <w:sz w:val="20"/>
                <w:szCs w:val="20"/>
                <w:color w:val="auto"/>
              </w:rPr>
            </w:pPr>
            <w:r>
              <w:rPr>
                <w:rFonts w:ascii="Arial" w:cs="Arial" w:eastAsia="Arial" w:hAnsi="Arial"/>
                <w:sz w:val="18"/>
                <w:szCs w:val="18"/>
                <w:color w:val="auto"/>
              </w:rPr>
              <w:t>Common Stock</w:t>
            </w: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180"/>
              <w:spacing w:after="0" w:line="182" w:lineRule="exact"/>
              <w:rPr>
                <w:sz w:val="20"/>
                <w:szCs w:val="20"/>
                <w:color w:val="auto"/>
              </w:rPr>
            </w:pPr>
            <w:r>
              <w:rPr>
                <w:rFonts w:ascii="Arial" w:cs="Arial" w:eastAsia="Arial" w:hAnsi="Arial"/>
                <w:sz w:val="18"/>
                <w:szCs w:val="18"/>
                <w:color w:val="auto"/>
                <w:w w:val="92"/>
              </w:rPr>
              <w:t>Accumulated</w:t>
            </w: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760" w:type="dxa"/>
            <w:vAlign w:val="bottom"/>
          </w:tcPr>
          <w:p>
            <w:pPr>
              <w:spacing w:after="0"/>
              <w:rPr>
                <w:sz w:val="14"/>
                <w:szCs w:val="14"/>
                <w:color w:val="auto"/>
              </w:rPr>
            </w:pPr>
          </w:p>
        </w:tc>
        <w:tc>
          <w:tcPr>
            <w:tcW w:w="2160" w:type="dxa"/>
            <w:vAlign w:val="bottom"/>
            <w:gridSpan w:val="5"/>
            <w:vMerge w:val="continue"/>
          </w:tcPr>
          <w:p>
            <w:pPr>
              <w:spacing w:after="0"/>
              <w:rPr>
                <w:sz w:val="14"/>
                <w:szCs w:val="14"/>
                <w:color w:val="auto"/>
              </w:rPr>
            </w:pPr>
          </w:p>
        </w:tc>
        <w:tc>
          <w:tcPr>
            <w:tcW w:w="1020" w:type="dxa"/>
            <w:vAlign w:val="bottom"/>
            <w:gridSpan w:val="3"/>
          </w:tcPr>
          <w:p>
            <w:pPr>
              <w:jc w:val="center"/>
              <w:ind w:right="80"/>
              <w:spacing w:after="0" w:line="156" w:lineRule="exact"/>
              <w:rPr>
                <w:sz w:val="20"/>
                <w:szCs w:val="20"/>
                <w:color w:val="auto"/>
              </w:rPr>
            </w:pPr>
            <w:r>
              <w:rPr>
                <w:rFonts w:ascii="Arial" w:cs="Arial" w:eastAsia="Arial" w:hAnsi="Arial"/>
                <w:sz w:val="18"/>
                <w:szCs w:val="18"/>
                <w:color w:val="auto"/>
                <w:w w:val="98"/>
              </w:rPr>
              <w:t>Additional</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180"/>
              <w:spacing w:after="0" w:line="156" w:lineRule="exact"/>
              <w:rPr>
                <w:sz w:val="20"/>
                <w:szCs w:val="20"/>
                <w:color w:val="auto"/>
              </w:rPr>
            </w:pPr>
            <w:r>
              <w:rPr>
                <w:rFonts w:ascii="Arial" w:cs="Arial" w:eastAsia="Arial" w:hAnsi="Arial"/>
                <w:sz w:val="18"/>
                <w:szCs w:val="18"/>
                <w:color w:val="auto"/>
                <w:w w:val="88"/>
              </w:rPr>
              <w:t>Other</w:t>
            </w:r>
          </w:p>
        </w:tc>
        <w:tc>
          <w:tcPr>
            <w:tcW w:w="200" w:type="dxa"/>
            <w:vAlign w:val="bottom"/>
          </w:tcPr>
          <w:p>
            <w:pPr>
              <w:spacing w:after="0"/>
              <w:rPr>
                <w:sz w:val="14"/>
                <w:szCs w:val="14"/>
                <w:color w:val="auto"/>
              </w:rPr>
            </w:pPr>
          </w:p>
        </w:tc>
        <w:tc>
          <w:tcPr>
            <w:tcW w:w="820" w:type="dxa"/>
            <w:vAlign w:val="bottom"/>
          </w:tcPr>
          <w:p>
            <w:pPr>
              <w:jc w:val="center"/>
              <w:ind w:right="90"/>
              <w:spacing w:after="0" w:line="156" w:lineRule="exact"/>
              <w:rPr>
                <w:sz w:val="20"/>
                <w:szCs w:val="20"/>
                <w:color w:val="auto"/>
              </w:rPr>
            </w:pPr>
            <w:r>
              <w:rPr>
                <w:rFonts w:ascii="Arial" w:cs="Arial" w:eastAsia="Arial" w:hAnsi="Arial"/>
                <w:sz w:val="18"/>
                <w:szCs w:val="18"/>
                <w:color w:val="auto"/>
                <w:w w:val="89"/>
              </w:rPr>
              <w:t>Total</w:t>
            </w:r>
          </w:p>
        </w:tc>
        <w:tc>
          <w:tcPr>
            <w:tcW w:w="0" w:type="dxa"/>
            <w:vAlign w:val="bottom"/>
          </w:tcPr>
          <w:p>
            <w:pPr>
              <w:spacing w:after="0"/>
              <w:rPr>
                <w:sz w:val="1"/>
                <w:szCs w:val="1"/>
                <w:color w:val="auto"/>
              </w:rPr>
            </w:pPr>
          </w:p>
        </w:tc>
      </w:tr>
      <w:tr>
        <w:trPr>
          <w:trHeight w:val="169"/>
        </w:trPr>
        <w:tc>
          <w:tcPr>
            <w:tcW w:w="4760" w:type="dxa"/>
            <w:vAlign w:val="bottom"/>
          </w:tcPr>
          <w:p>
            <w:pPr>
              <w:spacing w:after="0"/>
              <w:rPr>
                <w:sz w:val="14"/>
                <w:szCs w:val="14"/>
                <w:color w:val="auto"/>
              </w:rPr>
            </w:pPr>
          </w:p>
        </w:tc>
        <w:tc>
          <w:tcPr>
            <w:tcW w:w="1080" w:type="dxa"/>
            <w:vAlign w:val="bottom"/>
            <w:tcBorders>
              <w:top w:val="single" w:sz="8" w:color="auto"/>
            </w:tcBorders>
            <w:gridSpan w:val="2"/>
          </w:tcPr>
          <w:p>
            <w:pPr>
              <w:jc w:val="center"/>
              <w:ind w:right="80"/>
              <w:spacing w:after="0" w:line="169" w:lineRule="exact"/>
              <w:rPr>
                <w:sz w:val="20"/>
                <w:szCs w:val="20"/>
                <w:color w:val="auto"/>
              </w:rPr>
            </w:pPr>
            <w:r>
              <w:rPr>
                <w:rFonts w:ascii="Arial" w:cs="Arial" w:eastAsia="Arial" w:hAnsi="Arial"/>
                <w:sz w:val="18"/>
                <w:szCs w:val="18"/>
                <w:color w:val="auto"/>
                <w:w w:val="95"/>
              </w:rPr>
              <w:t>Number of</w:t>
            </w:r>
          </w:p>
        </w:tc>
        <w:tc>
          <w:tcPr>
            <w:tcW w:w="1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center"/>
              <w:ind w:right="240"/>
              <w:spacing w:after="0" w:line="169" w:lineRule="exact"/>
              <w:rPr>
                <w:sz w:val="20"/>
                <w:szCs w:val="20"/>
                <w:color w:val="auto"/>
              </w:rPr>
            </w:pPr>
            <w:r>
              <w:rPr>
                <w:rFonts w:ascii="Arial" w:cs="Arial" w:eastAsia="Arial" w:hAnsi="Arial"/>
                <w:sz w:val="18"/>
                <w:szCs w:val="18"/>
                <w:color w:val="auto"/>
                <w:w w:val="94"/>
              </w:rPr>
              <w:t>Paid-In</w:t>
            </w:r>
          </w:p>
        </w:tc>
        <w:tc>
          <w:tcPr>
            <w:tcW w:w="140" w:type="dxa"/>
            <w:vAlign w:val="bottom"/>
          </w:tcPr>
          <w:p>
            <w:pPr>
              <w:spacing w:after="0"/>
              <w:rPr>
                <w:sz w:val="14"/>
                <w:szCs w:val="14"/>
                <w:color w:val="auto"/>
              </w:rPr>
            </w:pPr>
          </w:p>
        </w:tc>
        <w:tc>
          <w:tcPr>
            <w:tcW w:w="900" w:type="dxa"/>
            <w:vAlign w:val="bottom"/>
            <w:gridSpan w:val="2"/>
          </w:tcPr>
          <w:p>
            <w:pPr>
              <w:ind w:left="20"/>
              <w:spacing w:after="0" w:line="169" w:lineRule="exact"/>
              <w:rPr>
                <w:sz w:val="20"/>
                <w:szCs w:val="20"/>
                <w:color w:val="auto"/>
              </w:rPr>
            </w:pPr>
            <w:r>
              <w:rPr>
                <w:rFonts w:ascii="Arial" w:cs="Arial" w:eastAsia="Arial" w:hAnsi="Arial"/>
                <w:sz w:val="18"/>
                <w:szCs w:val="18"/>
                <w:color w:val="auto"/>
              </w:rPr>
              <w:t>Retained</w:t>
            </w:r>
          </w:p>
        </w:tc>
        <w:tc>
          <w:tcPr>
            <w:tcW w:w="1240" w:type="dxa"/>
            <w:vAlign w:val="bottom"/>
            <w:gridSpan w:val="3"/>
          </w:tcPr>
          <w:p>
            <w:pPr>
              <w:ind w:left="20"/>
              <w:spacing w:after="0" w:line="169" w:lineRule="exact"/>
              <w:rPr>
                <w:sz w:val="20"/>
                <w:szCs w:val="20"/>
                <w:color w:val="auto"/>
              </w:rPr>
            </w:pPr>
            <w:r>
              <w:rPr>
                <w:rFonts w:ascii="Arial" w:cs="Arial" w:eastAsia="Arial" w:hAnsi="Arial"/>
                <w:sz w:val="18"/>
                <w:szCs w:val="18"/>
                <w:color w:val="auto"/>
                <w:w w:val="95"/>
              </w:rPr>
              <w:t>Comprehensive</w:t>
            </w:r>
          </w:p>
        </w:tc>
        <w:tc>
          <w:tcPr>
            <w:tcW w:w="1020" w:type="dxa"/>
            <w:vAlign w:val="bottom"/>
            <w:gridSpan w:val="2"/>
          </w:tcPr>
          <w:p>
            <w:pPr>
              <w:ind w:left="20"/>
              <w:spacing w:after="0" w:line="169" w:lineRule="exact"/>
              <w:rPr>
                <w:sz w:val="20"/>
                <w:szCs w:val="20"/>
                <w:color w:val="auto"/>
              </w:rPr>
            </w:pPr>
            <w:r>
              <w:rPr>
                <w:rFonts w:ascii="Arial" w:cs="Arial" w:eastAsia="Arial" w:hAnsi="Arial"/>
                <w:sz w:val="18"/>
                <w:szCs w:val="18"/>
                <w:color w:val="auto"/>
                <w:w w:val="91"/>
              </w:rPr>
              <w:t>Stockholders'</w:t>
            </w:r>
          </w:p>
        </w:tc>
        <w:tc>
          <w:tcPr>
            <w:tcW w:w="0" w:type="dxa"/>
            <w:vAlign w:val="bottom"/>
          </w:tcPr>
          <w:p>
            <w:pPr>
              <w:spacing w:after="0"/>
              <w:rPr>
                <w:sz w:val="1"/>
                <w:szCs w:val="1"/>
                <w:color w:val="auto"/>
              </w:rPr>
            </w:pPr>
          </w:p>
        </w:tc>
      </w:tr>
      <w:tr>
        <w:trPr>
          <w:trHeight w:val="243"/>
        </w:trPr>
        <w:tc>
          <w:tcPr>
            <w:tcW w:w="47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080" w:type="dxa"/>
            <w:vAlign w:val="bottom"/>
            <w:gridSpan w:val="2"/>
          </w:tcPr>
          <w:p>
            <w:pPr>
              <w:jc w:val="center"/>
              <w:ind w:right="80"/>
              <w:spacing w:after="0"/>
              <w:rPr>
                <w:sz w:val="20"/>
                <w:szCs w:val="20"/>
                <w:color w:val="auto"/>
              </w:rPr>
            </w:pPr>
            <w:r>
              <w:rPr>
                <w:rFonts w:ascii="Arial" w:cs="Arial" w:eastAsia="Arial" w:hAnsi="Arial"/>
                <w:sz w:val="18"/>
                <w:szCs w:val="18"/>
                <w:color w:val="auto"/>
                <w:w w:val="84"/>
              </w:rPr>
              <w:t>Shares</w:t>
            </w:r>
          </w:p>
        </w:tc>
        <w:tc>
          <w:tcPr>
            <w:tcW w:w="160" w:type="dxa"/>
            <w:vAlign w:val="bottom"/>
          </w:tcPr>
          <w:p>
            <w:pPr>
              <w:spacing w:after="0"/>
              <w:rPr>
                <w:sz w:val="21"/>
                <w:szCs w:val="21"/>
                <w:color w:val="auto"/>
              </w:rPr>
            </w:pPr>
          </w:p>
        </w:tc>
        <w:tc>
          <w:tcPr>
            <w:tcW w:w="920" w:type="dxa"/>
            <w:vAlign w:val="bottom"/>
            <w:gridSpan w:val="2"/>
          </w:tcPr>
          <w:p>
            <w:pPr>
              <w:ind w:left="40"/>
              <w:spacing w:after="0"/>
              <w:rPr>
                <w:sz w:val="20"/>
                <w:szCs w:val="20"/>
                <w:color w:val="auto"/>
              </w:rPr>
            </w:pPr>
            <w:r>
              <w:rPr>
                <w:rFonts w:ascii="Arial" w:cs="Arial" w:eastAsia="Arial" w:hAnsi="Arial"/>
                <w:sz w:val="18"/>
                <w:szCs w:val="18"/>
                <w:color w:val="auto"/>
              </w:rPr>
              <w:t>Amount</w:t>
            </w:r>
          </w:p>
        </w:tc>
        <w:tc>
          <w:tcPr>
            <w:tcW w:w="160" w:type="dxa"/>
            <w:vAlign w:val="bottom"/>
          </w:tcPr>
          <w:p>
            <w:pPr>
              <w:spacing w:after="0"/>
              <w:rPr>
                <w:sz w:val="21"/>
                <w:szCs w:val="21"/>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Capital</w:t>
            </w:r>
          </w:p>
        </w:tc>
        <w:tc>
          <w:tcPr>
            <w:tcW w:w="140" w:type="dxa"/>
            <w:vAlign w:val="bottom"/>
          </w:tcPr>
          <w:p>
            <w:pPr>
              <w:spacing w:after="0"/>
              <w:rPr>
                <w:sz w:val="21"/>
                <w:szCs w:val="21"/>
                <w:color w:val="auto"/>
              </w:rPr>
            </w:pPr>
          </w:p>
        </w:tc>
        <w:tc>
          <w:tcPr>
            <w:tcW w:w="900" w:type="dxa"/>
            <w:vAlign w:val="bottom"/>
            <w:gridSpan w:val="2"/>
          </w:tcPr>
          <w:p>
            <w:pPr>
              <w:ind w:left="20"/>
              <w:spacing w:after="0"/>
              <w:rPr>
                <w:sz w:val="20"/>
                <w:szCs w:val="20"/>
                <w:color w:val="auto"/>
              </w:rPr>
            </w:pPr>
            <w:r>
              <w:rPr>
                <w:rFonts w:ascii="Arial" w:cs="Arial" w:eastAsia="Arial" w:hAnsi="Arial"/>
                <w:sz w:val="18"/>
                <w:szCs w:val="18"/>
                <w:color w:val="auto"/>
              </w:rPr>
              <w:t>Earnings</w:t>
            </w:r>
          </w:p>
        </w:tc>
        <w:tc>
          <w:tcPr>
            <w:tcW w:w="100" w:type="dxa"/>
            <w:vAlign w:val="bottom"/>
          </w:tcPr>
          <w:p>
            <w:pPr>
              <w:spacing w:after="0"/>
              <w:rPr>
                <w:sz w:val="21"/>
                <w:szCs w:val="21"/>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Loss</w:t>
            </w:r>
          </w:p>
        </w:tc>
        <w:tc>
          <w:tcPr>
            <w:tcW w:w="200" w:type="dxa"/>
            <w:vAlign w:val="bottom"/>
          </w:tcPr>
          <w:p>
            <w:pPr>
              <w:spacing w:after="0"/>
              <w:rPr>
                <w:sz w:val="21"/>
                <w:szCs w:val="21"/>
                <w:color w:val="auto"/>
              </w:rPr>
            </w:pPr>
          </w:p>
        </w:tc>
        <w:tc>
          <w:tcPr>
            <w:tcW w:w="820" w:type="dxa"/>
            <w:vAlign w:val="bottom"/>
          </w:tcPr>
          <w:p>
            <w:pPr>
              <w:jc w:val="center"/>
              <w:ind w:right="90"/>
              <w:spacing w:after="0"/>
              <w:rPr>
                <w:sz w:val="20"/>
                <w:szCs w:val="20"/>
                <w:color w:val="auto"/>
              </w:rPr>
            </w:pPr>
            <w:r>
              <w:rPr>
                <w:rFonts w:ascii="Arial" w:cs="Arial" w:eastAsia="Arial" w:hAnsi="Arial"/>
                <w:sz w:val="18"/>
                <w:szCs w:val="18"/>
                <w:color w:val="auto"/>
                <w:w w:val="95"/>
              </w:rPr>
              <w:t>Equity</w:t>
            </w:r>
          </w:p>
        </w:tc>
        <w:tc>
          <w:tcPr>
            <w:tcW w:w="0" w:type="dxa"/>
            <w:vAlign w:val="bottom"/>
          </w:tcPr>
          <w:p>
            <w:pPr>
              <w:spacing w:after="0"/>
              <w:rPr>
                <w:sz w:val="1"/>
                <w:szCs w:val="1"/>
                <w:color w:val="auto"/>
              </w:rPr>
            </w:pPr>
          </w:p>
        </w:tc>
      </w:tr>
      <w:tr>
        <w:trPr>
          <w:trHeight w:val="223"/>
        </w:trPr>
        <w:tc>
          <w:tcPr>
            <w:tcW w:w="4760" w:type="dxa"/>
            <w:vAlign w:val="bottom"/>
          </w:tcPr>
          <w:p>
            <w:pPr>
              <w:ind w:left="20"/>
              <w:spacing w:after="0"/>
              <w:rPr>
                <w:sz w:val="20"/>
                <w:szCs w:val="20"/>
                <w:color w:val="auto"/>
              </w:rPr>
            </w:pPr>
            <w:r>
              <w:rPr>
                <w:rFonts w:ascii="Arial" w:cs="Arial" w:eastAsia="Arial" w:hAnsi="Arial"/>
                <w:sz w:val="18"/>
                <w:szCs w:val="18"/>
                <w:color w:val="auto"/>
              </w:rPr>
              <w:t>Balance, December 1, 2022</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43,257</w:t>
            </w:r>
          </w:p>
        </w:tc>
        <w:tc>
          <w:tcPr>
            <w:tcW w:w="8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433</w:t>
            </w:r>
          </w:p>
        </w:tc>
        <w:tc>
          <w:tcPr>
            <w:tcW w:w="8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331,650</w:t>
            </w:r>
          </w:p>
        </w:tc>
        <w:tc>
          <w:tcPr>
            <w:tcW w:w="80" w:type="dxa"/>
            <w:vAlign w:val="bottom"/>
          </w:tcPr>
          <w:p>
            <w:pPr>
              <w:spacing w:after="0"/>
              <w:rPr>
                <w:sz w:val="19"/>
                <w:szCs w:val="19"/>
                <w:color w:val="auto"/>
              </w:rPr>
            </w:pPr>
          </w:p>
        </w:tc>
        <w:tc>
          <w:tcPr>
            <w:tcW w:w="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101,656</w:t>
            </w:r>
          </w:p>
        </w:tc>
        <w:tc>
          <w:tcPr>
            <w:tcW w:w="80" w:type="dxa"/>
            <w:vAlign w:val="bottom"/>
          </w:tcPr>
          <w:p>
            <w:pPr>
              <w:spacing w:after="0"/>
              <w:rPr>
                <w:sz w:val="19"/>
                <w:szCs w:val="19"/>
                <w:color w:val="auto"/>
              </w:rPr>
            </w:pPr>
          </w:p>
        </w:tc>
        <w:tc>
          <w:tcPr>
            <w:tcW w:w="100" w:type="dxa"/>
            <w:vAlign w:val="bottom"/>
            <w:tcBorders>
              <w:top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(35,235)</w:t>
            </w:r>
          </w:p>
        </w:tc>
        <w:tc>
          <w:tcPr>
            <w:tcW w:w="80" w:type="dxa"/>
            <w:vAlign w:val="bottom"/>
          </w:tcPr>
          <w:p>
            <w:pPr>
              <w:spacing w:after="0"/>
              <w:rPr>
                <w:sz w:val="19"/>
                <w:szCs w:val="19"/>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398,504</w:t>
            </w: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9"/>
              </w:rPr>
              <w:t>Issuance of stock under employee stock purchase plan</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7,769</w:t>
            </w:r>
          </w:p>
        </w:tc>
        <w:tc>
          <w:tcPr>
            <w:tcW w:w="0" w:type="dxa"/>
            <w:vAlign w:val="bottom"/>
          </w:tcPr>
          <w:p>
            <w:pPr>
              <w:spacing w:after="0"/>
              <w:rPr>
                <w:sz w:val="1"/>
                <w:szCs w:val="1"/>
                <w:color w:val="auto"/>
              </w:rPr>
            </w:pPr>
          </w:p>
        </w:tc>
      </w:tr>
      <w:tr>
        <w:trPr>
          <w:trHeight w:val="229"/>
        </w:trPr>
        <w:tc>
          <w:tcPr>
            <w:tcW w:w="4760" w:type="dxa"/>
            <w:vAlign w:val="bottom"/>
          </w:tcPr>
          <w:p>
            <w:pPr>
              <w:ind w:left="360"/>
              <w:spacing w:after="0"/>
              <w:rPr>
                <w:sz w:val="20"/>
                <w:szCs w:val="20"/>
                <w:color w:val="auto"/>
              </w:rPr>
            </w:pPr>
            <w:r>
              <w:rPr>
                <w:rFonts w:ascii="Arial" w:cs="Arial" w:eastAsia="Arial" w:hAnsi="Arial"/>
                <w:sz w:val="18"/>
                <w:szCs w:val="18"/>
                <w:color w:val="auto"/>
              </w:rPr>
              <w:t>Exercise of stock options</w:t>
            </w:r>
          </w:p>
        </w:tc>
        <w:tc>
          <w:tcPr>
            <w:tcW w:w="1000" w:type="dxa"/>
            <w:vAlign w:val="bottom"/>
          </w:tcPr>
          <w:p>
            <w:pPr>
              <w:jc w:val="right"/>
              <w:spacing w:after="0"/>
              <w:rPr>
                <w:sz w:val="20"/>
                <w:szCs w:val="20"/>
                <w:color w:val="auto"/>
              </w:rPr>
            </w:pPr>
            <w:r>
              <w:rPr>
                <w:rFonts w:ascii="Arial" w:cs="Arial" w:eastAsia="Arial" w:hAnsi="Arial"/>
                <w:sz w:val="18"/>
                <w:szCs w:val="18"/>
                <w:color w:val="auto"/>
              </w:rPr>
              <w:t>400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12,157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12,161</w:t>
            </w:r>
          </w:p>
        </w:tc>
        <w:tc>
          <w:tcPr>
            <w:tcW w:w="0" w:type="dxa"/>
            <w:vAlign w:val="bottom"/>
          </w:tcPr>
          <w:p>
            <w:pPr>
              <w:spacing w:after="0"/>
              <w:rPr>
                <w:sz w:val="1"/>
                <w:szCs w:val="1"/>
                <w:color w:val="auto"/>
              </w:rPr>
            </w:pPr>
          </w:p>
        </w:tc>
      </w:tr>
      <w:tr>
        <w:trPr>
          <w:trHeight w:val="176"/>
        </w:trPr>
        <w:tc>
          <w:tcPr>
            <w:tcW w:w="476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89"/>
              </w:rPr>
              <w:t>Vesting of restricted stock units and release of deferred stock</w:t>
            </w: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units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60" w:type="dxa"/>
            <w:vAlign w:val="bottom"/>
          </w:tcPr>
          <w:p>
            <w:pPr>
              <w:ind w:left="360"/>
              <w:spacing w:after="0"/>
              <w:rPr>
                <w:sz w:val="20"/>
                <w:szCs w:val="20"/>
                <w:color w:val="auto"/>
              </w:rPr>
            </w:pPr>
            <w:r>
              <w:rPr>
                <w:rFonts w:ascii="Arial" w:cs="Arial" w:eastAsia="Arial" w:hAnsi="Arial"/>
                <w:sz w:val="18"/>
                <w:szCs w:val="18"/>
                <w:color w:val="auto"/>
                <w:w w:val="94"/>
              </w:rPr>
              <w:t>Withholding tax payments related to net issuance of RSUs</w:t>
            </w:r>
          </w:p>
        </w:tc>
        <w:tc>
          <w:tcPr>
            <w:tcW w:w="1000" w:type="dxa"/>
            <w:vAlign w:val="bottom"/>
          </w:tcPr>
          <w:p>
            <w:pPr>
              <w:jc w:val="right"/>
              <w:spacing w:after="0"/>
              <w:rPr>
                <w:sz w:val="20"/>
                <w:szCs w:val="20"/>
                <w:color w:val="auto"/>
              </w:rPr>
            </w:pPr>
            <w:r>
              <w:rPr>
                <w:rFonts w:ascii="Arial" w:cs="Arial" w:eastAsia="Arial" w:hAnsi="Arial"/>
                <w:sz w:val="18"/>
                <w:szCs w:val="18"/>
                <w:color w:val="auto"/>
              </w:rPr>
              <w:t>(147)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(8,101)</w:t>
            </w: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30,111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30,111</w:t>
            </w:r>
          </w:p>
        </w:tc>
        <w:tc>
          <w:tcPr>
            <w:tcW w:w="0" w:type="dxa"/>
            <w:vAlign w:val="bottom"/>
          </w:tcPr>
          <w:p>
            <w:pPr>
              <w:spacing w:after="0"/>
              <w:rPr>
                <w:sz w:val="1"/>
                <w:szCs w:val="1"/>
                <w:color w:val="auto"/>
              </w:rPr>
            </w:pPr>
          </w:p>
        </w:tc>
      </w:tr>
      <w:tr>
        <w:trPr>
          <w:trHeight w:val="230"/>
        </w:trPr>
        <w:tc>
          <w:tcPr>
            <w:tcW w:w="4760" w:type="dxa"/>
            <w:vAlign w:val="bottom"/>
          </w:tcPr>
          <w:p>
            <w:pPr>
              <w:ind w:left="360"/>
              <w:spacing w:after="0"/>
              <w:rPr>
                <w:sz w:val="20"/>
                <w:szCs w:val="20"/>
                <w:color w:val="auto"/>
              </w:rPr>
            </w:pPr>
            <w:r>
              <w:rPr>
                <w:rFonts w:ascii="Arial" w:cs="Arial" w:eastAsia="Arial" w:hAnsi="Arial"/>
                <w:sz w:val="18"/>
                <w:szCs w:val="18"/>
                <w:color w:val="auto"/>
              </w:rPr>
              <w:t>Dividends declared</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(23,908)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(23,908)</w:t>
            </w: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Treasury stock repurchases and retirements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29"/>
        </w:trPr>
        <w:tc>
          <w:tcPr>
            <w:tcW w:w="476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54,862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54,862</w:t>
            </w: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comprehensive income</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3,648</w:t>
            </w:r>
          </w:p>
        </w:tc>
        <w:tc>
          <w:tcPr>
            <w:tcW w:w="0" w:type="dxa"/>
            <w:vAlign w:val="bottom"/>
          </w:tcPr>
          <w:p>
            <w:pPr>
              <w:spacing w:after="0"/>
              <w:rPr>
                <w:sz w:val="1"/>
                <w:szCs w:val="1"/>
                <w:color w:val="auto"/>
              </w:rPr>
            </w:pPr>
          </w:p>
        </w:tc>
      </w:tr>
      <w:tr>
        <w:trPr>
          <w:trHeight w:val="223"/>
        </w:trPr>
        <w:tc>
          <w:tcPr>
            <w:tcW w:w="4760" w:type="dxa"/>
            <w:vAlign w:val="bottom"/>
          </w:tcPr>
          <w:p>
            <w:pPr>
              <w:ind w:left="20"/>
              <w:spacing w:after="0"/>
              <w:rPr>
                <w:sz w:val="20"/>
                <w:szCs w:val="20"/>
                <w:color w:val="auto"/>
              </w:rPr>
            </w:pPr>
            <w:r>
              <w:rPr>
                <w:rFonts w:ascii="Arial" w:cs="Arial" w:eastAsia="Arial" w:hAnsi="Arial"/>
                <w:sz w:val="18"/>
                <w:szCs w:val="18"/>
                <w:color w:val="auto"/>
              </w:rPr>
              <w:t>Balance, August 31, 2023</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43,565</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438</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361,062</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115,133</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(31,587)</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445,046</w:t>
            </w:r>
          </w:p>
        </w:tc>
        <w:tc>
          <w:tcPr>
            <w:tcW w:w="0" w:type="dxa"/>
            <w:vAlign w:val="bottom"/>
          </w:tcPr>
          <w:p>
            <w:pPr>
              <w:spacing w:after="0"/>
              <w:rPr>
                <w:sz w:val="1"/>
                <w:szCs w:val="1"/>
                <w:color w:val="auto"/>
              </w:rPr>
            </w:pPr>
          </w:p>
        </w:tc>
      </w:tr>
      <w:tr>
        <w:trPr>
          <w:trHeight w:val="763"/>
        </w:trPr>
        <w:tc>
          <w:tcPr>
            <w:tcW w:w="476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gridSpan w:val="11"/>
          </w:tcPr>
          <w:p>
            <w:pPr>
              <w:jc w:val="center"/>
              <w:ind w:right="220"/>
              <w:spacing w:after="0"/>
              <w:rPr>
                <w:sz w:val="20"/>
                <w:szCs w:val="20"/>
                <w:color w:val="auto"/>
              </w:rPr>
            </w:pPr>
            <w:r>
              <w:rPr>
                <w:rFonts w:ascii="Arial" w:cs="Arial" w:eastAsia="Arial" w:hAnsi="Arial"/>
                <w:sz w:val="18"/>
                <w:szCs w:val="18"/>
                <w:color w:val="auto"/>
                <w:w w:val="90"/>
              </w:rPr>
              <w:t>Three Months Ended August 31, 2023</w:t>
            </w: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4760" w:type="dxa"/>
            <w:vAlign w:val="bottom"/>
          </w:tcPr>
          <w:p>
            <w:pPr>
              <w:spacing w:after="0"/>
              <w:rPr>
                <w:sz w:val="15"/>
                <w:szCs w:val="15"/>
                <w:color w:val="auto"/>
              </w:rPr>
            </w:pPr>
          </w:p>
        </w:tc>
        <w:tc>
          <w:tcPr>
            <w:tcW w:w="2160" w:type="dxa"/>
            <w:vAlign w:val="bottom"/>
            <w:gridSpan w:val="5"/>
            <w:vMerge w:val="restart"/>
          </w:tcPr>
          <w:p>
            <w:pPr>
              <w:ind w:left="480"/>
              <w:spacing w:after="0"/>
              <w:rPr>
                <w:sz w:val="20"/>
                <w:szCs w:val="20"/>
                <w:color w:val="auto"/>
              </w:rPr>
            </w:pPr>
            <w:r>
              <w:rPr>
                <w:rFonts w:ascii="Arial" w:cs="Arial" w:eastAsia="Arial" w:hAnsi="Arial"/>
                <w:sz w:val="18"/>
                <w:szCs w:val="18"/>
                <w:color w:val="auto"/>
              </w:rPr>
              <w:t>Common Stock</w:t>
            </w: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180"/>
              <w:spacing w:after="0" w:line="182" w:lineRule="exact"/>
              <w:rPr>
                <w:sz w:val="20"/>
                <w:szCs w:val="20"/>
                <w:color w:val="auto"/>
              </w:rPr>
            </w:pPr>
            <w:r>
              <w:rPr>
                <w:rFonts w:ascii="Arial" w:cs="Arial" w:eastAsia="Arial" w:hAnsi="Arial"/>
                <w:sz w:val="18"/>
                <w:szCs w:val="18"/>
                <w:color w:val="auto"/>
                <w:w w:val="92"/>
              </w:rPr>
              <w:t>Accumulated</w:t>
            </w: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760" w:type="dxa"/>
            <w:vAlign w:val="bottom"/>
          </w:tcPr>
          <w:p>
            <w:pPr>
              <w:spacing w:after="0"/>
              <w:rPr>
                <w:sz w:val="14"/>
                <w:szCs w:val="14"/>
                <w:color w:val="auto"/>
              </w:rPr>
            </w:pPr>
          </w:p>
        </w:tc>
        <w:tc>
          <w:tcPr>
            <w:tcW w:w="2160" w:type="dxa"/>
            <w:vAlign w:val="bottom"/>
            <w:gridSpan w:val="5"/>
            <w:vMerge w:val="continue"/>
          </w:tcPr>
          <w:p>
            <w:pPr>
              <w:spacing w:after="0"/>
              <w:rPr>
                <w:sz w:val="14"/>
                <w:szCs w:val="14"/>
                <w:color w:val="auto"/>
              </w:rPr>
            </w:pPr>
          </w:p>
        </w:tc>
        <w:tc>
          <w:tcPr>
            <w:tcW w:w="1020" w:type="dxa"/>
            <w:vAlign w:val="bottom"/>
            <w:gridSpan w:val="3"/>
          </w:tcPr>
          <w:p>
            <w:pPr>
              <w:jc w:val="center"/>
              <w:ind w:right="80"/>
              <w:spacing w:after="0" w:line="156" w:lineRule="exact"/>
              <w:rPr>
                <w:sz w:val="20"/>
                <w:szCs w:val="20"/>
                <w:color w:val="auto"/>
              </w:rPr>
            </w:pPr>
            <w:r>
              <w:rPr>
                <w:rFonts w:ascii="Arial" w:cs="Arial" w:eastAsia="Arial" w:hAnsi="Arial"/>
                <w:sz w:val="18"/>
                <w:szCs w:val="18"/>
                <w:color w:val="auto"/>
                <w:w w:val="98"/>
              </w:rPr>
              <w:t>Additional</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180"/>
              <w:spacing w:after="0" w:line="156" w:lineRule="exact"/>
              <w:rPr>
                <w:sz w:val="20"/>
                <w:szCs w:val="20"/>
                <w:color w:val="auto"/>
              </w:rPr>
            </w:pPr>
            <w:r>
              <w:rPr>
                <w:rFonts w:ascii="Arial" w:cs="Arial" w:eastAsia="Arial" w:hAnsi="Arial"/>
                <w:sz w:val="18"/>
                <w:szCs w:val="18"/>
                <w:color w:val="auto"/>
                <w:w w:val="88"/>
              </w:rPr>
              <w:t>Other</w:t>
            </w:r>
          </w:p>
        </w:tc>
        <w:tc>
          <w:tcPr>
            <w:tcW w:w="200" w:type="dxa"/>
            <w:vAlign w:val="bottom"/>
          </w:tcPr>
          <w:p>
            <w:pPr>
              <w:spacing w:after="0"/>
              <w:rPr>
                <w:sz w:val="14"/>
                <w:szCs w:val="14"/>
                <w:color w:val="auto"/>
              </w:rPr>
            </w:pPr>
          </w:p>
        </w:tc>
        <w:tc>
          <w:tcPr>
            <w:tcW w:w="820" w:type="dxa"/>
            <w:vAlign w:val="bottom"/>
          </w:tcPr>
          <w:p>
            <w:pPr>
              <w:jc w:val="center"/>
              <w:ind w:right="90"/>
              <w:spacing w:after="0" w:line="156" w:lineRule="exact"/>
              <w:rPr>
                <w:sz w:val="20"/>
                <w:szCs w:val="20"/>
                <w:color w:val="auto"/>
              </w:rPr>
            </w:pPr>
            <w:r>
              <w:rPr>
                <w:rFonts w:ascii="Arial" w:cs="Arial" w:eastAsia="Arial" w:hAnsi="Arial"/>
                <w:sz w:val="18"/>
                <w:szCs w:val="18"/>
                <w:color w:val="auto"/>
                <w:w w:val="89"/>
              </w:rPr>
              <w:t>Total</w:t>
            </w:r>
          </w:p>
        </w:tc>
        <w:tc>
          <w:tcPr>
            <w:tcW w:w="0" w:type="dxa"/>
            <w:vAlign w:val="bottom"/>
          </w:tcPr>
          <w:p>
            <w:pPr>
              <w:spacing w:after="0"/>
              <w:rPr>
                <w:sz w:val="1"/>
                <w:szCs w:val="1"/>
                <w:color w:val="auto"/>
              </w:rPr>
            </w:pPr>
          </w:p>
        </w:tc>
      </w:tr>
      <w:tr>
        <w:trPr>
          <w:trHeight w:val="169"/>
        </w:trPr>
        <w:tc>
          <w:tcPr>
            <w:tcW w:w="4760" w:type="dxa"/>
            <w:vAlign w:val="bottom"/>
          </w:tcPr>
          <w:p>
            <w:pPr>
              <w:spacing w:after="0"/>
              <w:rPr>
                <w:sz w:val="14"/>
                <w:szCs w:val="14"/>
                <w:color w:val="auto"/>
              </w:rPr>
            </w:pPr>
          </w:p>
        </w:tc>
        <w:tc>
          <w:tcPr>
            <w:tcW w:w="1080" w:type="dxa"/>
            <w:vAlign w:val="bottom"/>
            <w:tcBorders>
              <w:top w:val="single" w:sz="8" w:color="auto"/>
            </w:tcBorders>
            <w:gridSpan w:val="2"/>
          </w:tcPr>
          <w:p>
            <w:pPr>
              <w:jc w:val="center"/>
              <w:ind w:right="80"/>
              <w:spacing w:after="0" w:line="169" w:lineRule="exact"/>
              <w:rPr>
                <w:sz w:val="20"/>
                <w:szCs w:val="20"/>
                <w:color w:val="auto"/>
              </w:rPr>
            </w:pPr>
            <w:r>
              <w:rPr>
                <w:rFonts w:ascii="Arial" w:cs="Arial" w:eastAsia="Arial" w:hAnsi="Arial"/>
                <w:sz w:val="18"/>
                <w:szCs w:val="18"/>
                <w:color w:val="auto"/>
                <w:w w:val="95"/>
              </w:rPr>
              <w:t>Number of</w:t>
            </w:r>
          </w:p>
        </w:tc>
        <w:tc>
          <w:tcPr>
            <w:tcW w:w="1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center"/>
              <w:ind w:right="240"/>
              <w:spacing w:after="0" w:line="169" w:lineRule="exact"/>
              <w:rPr>
                <w:sz w:val="20"/>
                <w:szCs w:val="20"/>
                <w:color w:val="auto"/>
              </w:rPr>
            </w:pPr>
            <w:r>
              <w:rPr>
                <w:rFonts w:ascii="Arial" w:cs="Arial" w:eastAsia="Arial" w:hAnsi="Arial"/>
                <w:sz w:val="18"/>
                <w:szCs w:val="18"/>
                <w:color w:val="auto"/>
                <w:w w:val="94"/>
              </w:rPr>
              <w:t>Paid-In</w:t>
            </w:r>
          </w:p>
        </w:tc>
        <w:tc>
          <w:tcPr>
            <w:tcW w:w="140" w:type="dxa"/>
            <w:vAlign w:val="bottom"/>
          </w:tcPr>
          <w:p>
            <w:pPr>
              <w:spacing w:after="0"/>
              <w:rPr>
                <w:sz w:val="14"/>
                <w:szCs w:val="14"/>
                <w:color w:val="auto"/>
              </w:rPr>
            </w:pPr>
          </w:p>
        </w:tc>
        <w:tc>
          <w:tcPr>
            <w:tcW w:w="900" w:type="dxa"/>
            <w:vAlign w:val="bottom"/>
            <w:gridSpan w:val="2"/>
          </w:tcPr>
          <w:p>
            <w:pPr>
              <w:ind w:left="20"/>
              <w:spacing w:after="0" w:line="169" w:lineRule="exact"/>
              <w:rPr>
                <w:sz w:val="20"/>
                <w:szCs w:val="20"/>
                <w:color w:val="auto"/>
              </w:rPr>
            </w:pPr>
            <w:r>
              <w:rPr>
                <w:rFonts w:ascii="Arial" w:cs="Arial" w:eastAsia="Arial" w:hAnsi="Arial"/>
                <w:sz w:val="18"/>
                <w:szCs w:val="18"/>
                <w:color w:val="auto"/>
              </w:rPr>
              <w:t>Retained</w:t>
            </w:r>
          </w:p>
        </w:tc>
        <w:tc>
          <w:tcPr>
            <w:tcW w:w="1240" w:type="dxa"/>
            <w:vAlign w:val="bottom"/>
            <w:gridSpan w:val="3"/>
          </w:tcPr>
          <w:p>
            <w:pPr>
              <w:ind w:left="20"/>
              <w:spacing w:after="0" w:line="169" w:lineRule="exact"/>
              <w:rPr>
                <w:sz w:val="20"/>
                <w:szCs w:val="20"/>
                <w:color w:val="auto"/>
              </w:rPr>
            </w:pPr>
            <w:r>
              <w:rPr>
                <w:rFonts w:ascii="Arial" w:cs="Arial" w:eastAsia="Arial" w:hAnsi="Arial"/>
                <w:sz w:val="18"/>
                <w:szCs w:val="18"/>
                <w:color w:val="auto"/>
                <w:w w:val="95"/>
              </w:rPr>
              <w:t>Comprehensive</w:t>
            </w:r>
          </w:p>
        </w:tc>
        <w:tc>
          <w:tcPr>
            <w:tcW w:w="1020" w:type="dxa"/>
            <w:vAlign w:val="bottom"/>
            <w:gridSpan w:val="2"/>
          </w:tcPr>
          <w:p>
            <w:pPr>
              <w:ind w:left="20"/>
              <w:spacing w:after="0" w:line="169" w:lineRule="exact"/>
              <w:rPr>
                <w:sz w:val="20"/>
                <w:szCs w:val="20"/>
                <w:color w:val="auto"/>
              </w:rPr>
            </w:pPr>
            <w:r>
              <w:rPr>
                <w:rFonts w:ascii="Arial" w:cs="Arial" w:eastAsia="Arial" w:hAnsi="Arial"/>
                <w:sz w:val="18"/>
                <w:szCs w:val="18"/>
                <w:color w:val="auto"/>
                <w:w w:val="91"/>
              </w:rPr>
              <w:t>Stockholders'</w:t>
            </w:r>
          </w:p>
        </w:tc>
        <w:tc>
          <w:tcPr>
            <w:tcW w:w="0" w:type="dxa"/>
            <w:vAlign w:val="bottom"/>
          </w:tcPr>
          <w:p>
            <w:pPr>
              <w:spacing w:after="0"/>
              <w:rPr>
                <w:sz w:val="1"/>
                <w:szCs w:val="1"/>
                <w:color w:val="auto"/>
              </w:rPr>
            </w:pPr>
          </w:p>
        </w:tc>
      </w:tr>
      <w:tr>
        <w:trPr>
          <w:trHeight w:val="243"/>
        </w:trPr>
        <w:tc>
          <w:tcPr>
            <w:tcW w:w="47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080" w:type="dxa"/>
            <w:vAlign w:val="bottom"/>
            <w:gridSpan w:val="2"/>
          </w:tcPr>
          <w:p>
            <w:pPr>
              <w:jc w:val="center"/>
              <w:ind w:right="80"/>
              <w:spacing w:after="0"/>
              <w:rPr>
                <w:sz w:val="20"/>
                <w:szCs w:val="20"/>
                <w:color w:val="auto"/>
              </w:rPr>
            </w:pPr>
            <w:r>
              <w:rPr>
                <w:rFonts w:ascii="Arial" w:cs="Arial" w:eastAsia="Arial" w:hAnsi="Arial"/>
                <w:sz w:val="18"/>
                <w:szCs w:val="18"/>
                <w:color w:val="auto"/>
                <w:w w:val="84"/>
              </w:rPr>
              <w:t>Shares</w:t>
            </w:r>
          </w:p>
        </w:tc>
        <w:tc>
          <w:tcPr>
            <w:tcW w:w="160" w:type="dxa"/>
            <w:vAlign w:val="bottom"/>
          </w:tcPr>
          <w:p>
            <w:pPr>
              <w:spacing w:after="0"/>
              <w:rPr>
                <w:sz w:val="21"/>
                <w:szCs w:val="21"/>
                <w:color w:val="auto"/>
              </w:rPr>
            </w:pPr>
          </w:p>
        </w:tc>
        <w:tc>
          <w:tcPr>
            <w:tcW w:w="920" w:type="dxa"/>
            <w:vAlign w:val="bottom"/>
            <w:gridSpan w:val="2"/>
          </w:tcPr>
          <w:p>
            <w:pPr>
              <w:ind w:left="40"/>
              <w:spacing w:after="0"/>
              <w:rPr>
                <w:sz w:val="20"/>
                <w:szCs w:val="20"/>
                <w:color w:val="auto"/>
              </w:rPr>
            </w:pPr>
            <w:r>
              <w:rPr>
                <w:rFonts w:ascii="Arial" w:cs="Arial" w:eastAsia="Arial" w:hAnsi="Arial"/>
                <w:sz w:val="18"/>
                <w:szCs w:val="18"/>
                <w:color w:val="auto"/>
              </w:rPr>
              <w:t>Amount</w:t>
            </w:r>
          </w:p>
        </w:tc>
        <w:tc>
          <w:tcPr>
            <w:tcW w:w="160" w:type="dxa"/>
            <w:vAlign w:val="bottom"/>
          </w:tcPr>
          <w:p>
            <w:pPr>
              <w:spacing w:after="0"/>
              <w:rPr>
                <w:sz w:val="21"/>
                <w:szCs w:val="21"/>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Capital</w:t>
            </w:r>
          </w:p>
        </w:tc>
        <w:tc>
          <w:tcPr>
            <w:tcW w:w="140" w:type="dxa"/>
            <w:vAlign w:val="bottom"/>
          </w:tcPr>
          <w:p>
            <w:pPr>
              <w:spacing w:after="0"/>
              <w:rPr>
                <w:sz w:val="21"/>
                <w:szCs w:val="21"/>
                <w:color w:val="auto"/>
              </w:rPr>
            </w:pPr>
          </w:p>
        </w:tc>
        <w:tc>
          <w:tcPr>
            <w:tcW w:w="900" w:type="dxa"/>
            <w:vAlign w:val="bottom"/>
            <w:gridSpan w:val="2"/>
          </w:tcPr>
          <w:p>
            <w:pPr>
              <w:ind w:left="20"/>
              <w:spacing w:after="0"/>
              <w:rPr>
                <w:sz w:val="20"/>
                <w:szCs w:val="20"/>
                <w:color w:val="auto"/>
              </w:rPr>
            </w:pPr>
            <w:r>
              <w:rPr>
                <w:rFonts w:ascii="Arial" w:cs="Arial" w:eastAsia="Arial" w:hAnsi="Arial"/>
                <w:sz w:val="18"/>
                <w:szCs w:val="18"/>
                <w:color w:val="auto"/>
              </w:rPr>
              <w:t>Earnings</w:t>
            </w:r>
          </w:p>
        </w:tc>
        <w:tc>
          <w:tcPr>
            <w:tcW w:w="100" w:type="dxa"/>
            <w:vAlign w:val="bottom"/>
          </w:tcPr>
          <w:p>
            <w:pPr>
              <w:spacing w:after="0"/>
              <w:rPr>
                <w:sz w:val="21"/>
                <w:szCs w:val="21"/>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Loss</w:t>
            </w:r>
          </w:p>
        </w:tc>
        <w:tc>
          <w:tcPr>
            <w:tcW w:w="200" w:type="dxa"/>
            <w:vAlign w:val="bottom"/>
          </w:tcPr>
          <w:p>
            <w:pPr>
              <w:spacing w:after="0"/>
              <w:rPr>
                <w:sz w:val="21"/>
                <w:szCs w:val="21"/>
                <w:color w:val="auto"/>
              </w:rPr>
            </w:pPr>
          </w:p>
        </w:tc>
        <w:tc>
          <w:tcPr>
            <w:tcW w:w="820" w:type="dxa"/>
            <w:vAlign w:val="bottom"/>
          </w:tcPr>
          <w:p>
            <w:pPr>
              <w:jc w:val="center"/>
              <w:ind w:right="90"/>
              <w:spacing w:after="0"/>
              <w:rPr>
                <w:sz w:val="20"/>
                <w:szCs w:val="20"/>
                <w:color w:val="auto"/>
              </w:rPr>
            </w:pPr>
            <w:r>
              <w:rPr>
                <w:rFonts w:ascii="Arial" w:cs="Arial" w:eastAsia="Arial" w:hAnsi="Arial"/>
                <w:sz w:val="18"/>
                <w:szCs w:val="18"/>
                <w:color w:val="auto"/>
                <w:w w:val="95"/>
              </w:rPr>
              <w:t>Equity</w:t>
            </w:r>
          </w:p>
        </w:tc>
        <w:tc>
          <w:tcPr>
            <w:tcW w:w="0" w:type="dxa"/>
            <w:vAlign w:val="bottom"/>
          </w:tcPr>
          <w:p>
            <w:pPr>
              <w:spacing w:after="0"/>
              <w:rPr>
                <w:sz w:val="1"/>
                <w:szCs w:val="1"/>
                <w:color w:val="auto"/>
              </w:rPr>
            </w:pPr>
          </w:p>
        </w:tc>
      </w:tr>
      <w:tr>
        <w:trPr>
          <w:trHeight w:val="223"/>
        </w:trPr>
        <w:tc>
          <w:tcPr>
            <w:tcW w:w="4760" w:type="dxa"/>
            <w:vAlign w:val="bottom"/>
          </w:tcPr>
          <w:p>
            <w:pPr>
              <w:ind w:left="20"/>
              <w:spacing w:after="0"/>
              <w:rPr>
                <w:sz w:val="20"/>
                <w:szCs w:val="20"/>
                <w:color w:val="auto"/>
              </w:rPr>
            </w:pPr>
            <w:r>
              <w:rPr>
                <w:rFonts w:ascii="Arial" w:cs="Arial" w:eastAsia="Arial" w:hAnsi="Arial"/>
                <w:sz w:val="18"/>
                <w:szCs w:val="18"/>
                <w:color w:val="auto"/>
              </w:rPr>
              <w:t>Balance, June 1, 2023</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43,358</w:t>
            </w:r>
          </w:p>
        </w:tc>
        <w:tc>
          <w:tcPr>
            <w:tcW w:w="8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436</w:t>
            </w:r>
          </w:p>
        </w:tc>
        <w:tc>
          <w:tcPr>
            <w:tcW w:w="8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347,101</w:t>
            </w:r>
          </w:p>
        </w:tc>
        <w:tc>
          <w:tcPr>
            <w:tcW w:w="80" w:type="dxa"/>
            <w:vAlign w:val="bottom"/>
          </w:tcPr>
          <w:p>
            <w:pPr>
              <w:spacing w:after="0"/>
              <w:rPr>
                <w:sz w:val="19"/>
                <w:szCs w:val="19"/>
                <w:color w:val="auto"/>
              </w:rPr>
            </w:pPr>
          </w:p>
        </w:tc>
        <w:tc>
          <w:tcPr>
            <w:tcW w:w="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103,995</w:t>
            </w:r>
          </w:p>
        </w:tc>
        <w:tc>
          <w:tcPr>
            <w:tcW w:w="80" w:type="dxa"/>
            <w:vAlign w:val="bottom"/>
          </w:tcPr>
          <w:p>
            <w:pPr>
              <w:spacing w:after="0"/>
              <w:rPr>
                <w:sz w:val="19"/>
                <w:szCs w:val="19"/>
                <w:color w:val="auto"/>
              </w:rPr>
            </w:pPr>
          </w:p>
        </w:tc>
        <w:tc>
          <w:tcPr>
            <w:tcW w:w="100" w:type="dxa"/>
            <w:vAlign w:val="bottom"/>
            <w:tcBorders>
              <w:top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(32,717)</w:t>
            </w:r>
          </w:p>
        </w:tc>
        <w:tc>
          <w:tcPr>
            <w:tcW w:w="80" w:type="dxa"/>
            <w:vAlign w:val="bottom"/>
          </w:tcPr>
          <w:p>
            <w:pPr>
              <w:spacing w:after="0"/>
              <w:rPr>
                <w:sz w:val="19"/>
                <w:szCs w:val="19"/>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418,815</w:t>
            </w: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9"/>
              </w:rPr>
              <w:t>Issuance of stock under employee stock purchase plan</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2,499</w:t>
            </w:r>
          </w:p>
        </w:tc>
        <w:tc>
          <w:tcPr>
            <w:tcW w:w="0" w:type="dxa"/>
            <w:vAlign w:val="bottom"/>
          </w:tcPr>
          <w:p>
            <w:pPr>
              <w:spacing w:after="0"/>
              <w:rPr>
                <w:sz w:val="1"/>
                <w:szCs w:val="1"/>
                <w:color w:val="auto"/>
              </w:rPr>
            </w:pPr>
          </w:p>
        </w:tc>
      </w:tr>
      <w:tr>
        <w:trPr>
          <w:trHeight w:val="230"/>
        </w:trPr>
        <w:tc>
          <w:tcPr>
            <w:tcW w:w="4760" w:type="dxa"/>
            <w:vAlign w:val="bottom"/>
          </w:tcPr>
          <w:p>
            <w:pPr>
              <w:ind w:left="360"/>
              <w:spacing w:after="0"/>
              <w:rPr>
                <w:sz w:val="20"/>
                <w:szCs w:val="20"/>
                <w:color w:val="auto"/>
              </w:rPr>
            </w:pPr>
            <w:r>
              <w:rPr>
                <w:rFonts w:ascii="Arial" w:cs="Arial" w:eastAsia="Arial" w:hAnsi="Arial"/>
                <w:sz w:val="18"/>
                <w:szCs w:val="18"/>
                <w:color w:val="auto"/>
              </w:rPr>
              <w:t>Exercise of stock options</w:t>
            </w:r>
          </w:p>
        </w:tc>
        <w:tc>
          <w:tcPr>
            <w:tcW w:w="1000" w:type="dxa"/>
            <w:vAlign w:val="bottom"/>
          </w:tcPr>
          <w:p>
            <w:pPr>
              <w:jc w:val="right"/>
              <w:spacing w:after="0"/>
              <w:rPr>
                <w:sz w:val="20"/>
                <w:szCs w:val="20"/>
                <w:color w:val="auto"/>
              </w:rPr>
            </w:pPr>
            <w:r>
              <w:rPr>
                <w:rFonts w:ascii="Arial" w:cs="Arial" w:eastAsia="Arial" w:hAnsi="Arial"/>
                <w:sz w:val="18"/>
                <w:szCs w:val="18"/>
                <w:color w:val="auto"/>
              </w:rPr>
              <w:t>140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1,391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1,392</w:t>
            </w: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10,072</w:t>
            </w:r>
          </w:p>
        </w:tc>
        <w:tc>
          <w:tcPr>
            <w:tcW w:w="0" w:type="dxa"/>
            <w:vAlign w:val="bottom"/>
          </w:tcPr>
          <w:p>
            <w:pPr>
              <w:spacing w:after="0"/>
              <w:rPr>
                <w:sz w:val="1"/>
                <w:szCs w:val="1"/>
                <w:color w:val="auto"/>
              </w:rPr>
            </w:pPr>
          </w:p>
        </w:tc>
      </w:tr>
      <w:tr>
        <w:trPr>
          <w:trHeight w:val="229"/>
        </w:trPr>
        <w:tc>
          <w:tcPr>
            <w:tcW w:w="4760" w:type="dxa"/>
            <w:vAlign w:val="bottom"/>
          </w:tcPr>
          <w:p>
            <w:pPr>
              <w:ind w:left="360"/>
              <w:spacing w:after="0"/>
              <w:rPr>
                <w:sz w:val="20"/>
                <w:szCs w:val="20"/>
                <w:color w:val="auto"/>
              </w:rPr>
            </w:pPr>
            <w:r>
              <w:rPr>
                <w:rFonts w:ascii="Arial" w:cs="Arial" w:eastAsia="Arial" w:hAnsi="Arial"/>
                <w:sz w:val="18"/>
                <w:szCs w:val="18"/>
                <w:color w:val="auto"/>
              </w:rPr>
              <w:t>Dividends declared</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(7,960)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(7,960)</w:t>
            </w: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19,098</w:t>
            </w:r>
          </w:p>
        </w:tc>
        <w:tc>
          <w:tcPr>
            <w:tcW w:w="0" w:type="dxa"/>
            <w:vAlign w:val="bottom"/>
          </w:tcPr>
          <w:p>
            <w:pPr>
              <w:spacing w:after="0"/>
              <w:rPr>
                <w:sz w:val="1"/>
                <w:szCs w:val="1"/>
                <w:color w:val="auto"/>
              </w:rPr>
            </w:pPr>
          </w:p>
        </w:tc>
      </w:tr>
      <w:tr>
        <w:trPr>
          <w:trHeight w:val="230"/>
        </w:trPr>
        <w:tc>
          <w:tcPr>
            <w:tcW w:w="4760" w:type="dxa"/>
            <w:vAlign w:val="bottom"/>
          </w:tcPr>
          <w:p>
            <w:pPr>
              <w:ind w:left="360"/>
              <w:spacing w:after="0"/>
              <w:rPr>
                <w:sz w:val="20"/>
                <w:szCs w:val="20"/>
                <w:color w:val="auto"/>
              </w:rPr>
            </w:pPr>
            <w:r>
              <w:rPr>
                <w:rFonts w:ascii="Arial" w:cs="Arial" w:eastAsia="Arial" w:hAnsi="Arial"/>
                <w:sz w:val="18"/>
                <w:szCs w:val="18"/>
                <w:color w:val="auto"/>
              </w:rPr>
              <w:t>Other comprehensive loss</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1,130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1,130</w:t>
            </w:r>
          </w:p>
        </w:tc>
        <w:tc>
          <w:tcPr>
            <w:tcW w:w="0" w:type="dxa"/>
            <w:vAlign w:val="bottom"/>
          </w:tcPr>
          <w:p>
            <w:pPr>
              <w:spacing w:after="0"/>
              <w:rPr>
                <w:sz w:val="1"/>
                <w:szCs w:val="1"/>
                <w:color w:val="auto"/>
              </w:rPr>
            </w:pPr>
          </w:p>
        </w:tc>
      </w:tr>
      <w:tr>
        <w:trPr>
          <w:trHeight w:val="223"/>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August 31, 2023</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43,565</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361,062</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115,133</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(31,587)</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445,046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476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220" w:type="dxa"/>
            <w:vAlign w:val="bottom"/>
            <w:tcBorders>
              <w:bottom w:val="single" w:sz="8" w:color="auto"/>
            </w:tcBorders>
            <w:gridSpan w:val="11"/>
          </w:tcPr>
          <w:p>
            <w:pPr>
              <w:jc w:val="center"/>
              <w:ind w:right="220"/>
              <w:spacing w:after="0"/>
              <w:rPr>
                <w:sz w:val="20"/>
                <w:szCs w:val="20"/>
                <w:color w:val="auto"/>
              </w:rPr>
            </w:pPr>
            <w:r>
              <w:rPr>
                <w:rFonts w:ascii="Arial" w:cs="Arial" w:eastAsia="Arial" w:hAnsi="Arial"/>
                <w:sz w:val="18"/>
                <w:szCs w:val="18"/>
                <w:color w:val="auto"/>
                <w:w w:val="91"/>
              </w:rPr>
              <w:t>Nine Months Ended August 31, 2022</w:t>
            </w: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4760" w:type="dxa"/>
            <w:vAlign w:val="bottom"/>
          </w:tcPr>
          <w:p>
            <w:pPr>
              <w:spacing w:after="0"/>
              <w:rPr>
                <w:sz w:val="15"/>
                <w:szCs w:val="15"/>
                <w:color w:val="auto"/>
              </w:rPr>
            </w:pPr>
          </w:p>
        </w:tc>
        <w:tc>
          <w:tcPr>
            <w:tcW w:w="2080" w:type="dxa"/>
            <w:vAlign w:val="bottom"/>
            <w:gridSpan w:val="4"/>
            <w:vMerge w:val="restart"/>
          </w:tcPr>
          <w:p>
            <w:pPr>
              <w:jc w:val="right"/>
              <w:ind w:right="390"/>
              <w:spacing w:after="0"/>
              <w:rPr>
                <w:sz w:val="20"/>
                <w:szCs w:val="20"/>
                <w:color w:val="auto"/>
              </w:rPr>
            </w:pPr>
            <w:r>
              <w:rPr>
                <w:rFonts w:ascii="Arial" w:cs="Arial" w:eastAsia="Arial" w:hAnsi="Arial"/>
                <w:sz w:val="18"/>
                <w:szCs w:val="18"/>
                <w:color w:val="auto"/>
              </w:rPr>
              <w:t>Common Stock</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180"/>
              <w:spacing w:after="0" w:line="182" w:lineRule="exact"/>
              <w:rPr>
                <w:sz w:val="20"/>
                <w:szCs w:val="20"/>
                <w:color w:val="auto"/>
              </w:rPr>
            </w:pPr>
            <w:r>
              <w:rPr>
                <w:rFonts w:ascii="Arial" w:cs="Arial" w:eastAsia="Arial" w:hAnsi="Arial"/>
                <w:sz w:val="18"/>
                <w:szCs w:val="18"/>
                <w:color w:val="auto"/>
                <w:w w:val="92"/>
              </w:rPr>
              <w:t>Accumulated</w:t>
            </w: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4760" w:type="dxa"/>
            <w:vAlign w:val="bottom"/>
          </w:tcPr>
          <w:p>
            <w:pPr>
              <w:spacing w:after="0"/>
              <w:rPr>
                <w:sz w:val="14"/>
                <w:szCs w:val="14"/>
                <w:color w:val="auto"/>
              </w:rPr>
            </w:pPr>
          </w:p>
        </w:tc>
        <w:tc>
          <w:tcPr>
            <w:tcW w:w="2080" w:type="dxa"/>
            <w:vAlign w:val="bottom"/>
            <w:tcBorders>
              <w:bottom w:val="single" w:sz="8" w:color="auto"/>
            </w:tcBorders>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tcPr>
          <w:p>
            <w:pPr>
              <w:jc w:val="center"/>
              <w:ind w:right="80"/>
              <w:spacing w:after="0" w:line="156" w:lineRule="exact"/>
              <w:rPr>
                <w:sz w:val="20"/>
                <w:szCs w:val="20"/>
                <w:color w:val="auto"/>
              </w:rPr>
            </w:pPr>
            <w:r>
              <w:rPr>
                <w:rFonts w:ascii="Arial" w:cs="Arial" w:eastAsia="Arial" w:hAnsi="Arial"/>
                <w:sz w:val="18"/>
                <w:szCs w:val="18"/>
                <w:color w:val="auto"/>
                <w:w w:val="98"/>
              </w:rPr>
              <w:t>Additional</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180"/>
              <w:spacing w:after="0" w:line="156" w:lineRule="exact"/>
              <w:rPr>
                <w:sz w:val="20"/>
                <w:szCs w:val="20"/>
                <w:color w:val="auto"/>
              </w:rPr>
            </w:pPr>
            <w:r>
              <w:rPr>
                <w:rFonts w:ascii="Arial" w:cs="Arial" w:eastAsia="Arial" w:hAnsi="Arial"/>
                <w:sz w:val="18"/>
                <w:szCs w:val="18"/>
                <w:color w:val="auto"/>
                <w:w w:val="88"/>
              </w:rPr>
              <w:t>Other</w:t>
            </w:r>
          </w:p>
        </w:tc>
        <w:tc>
          <w:tcPr>
            <w:tcW w:w="200" w:type="dxa"/>
            <w:vAlign w:val="bottom"/>
          </w:tcPr>
          <w:p>
            <w:pPr>
              <w:spacing w:after="0"/>
              <w:rPr>
                <w:sz w:val="14"/>
                <w:szCs w:val="14"/>
                <w:color w:val="auto"/>
              </w:rPr>
            </w:pPr>
          </w:p>
        </w:tc>
        <w:tc>
          <w:tcPr>
            <w:tcW w:w="820" w:type="dxa"/>
            <w:vAlign w:val="bottom"/>
          </w:tcPr>
          <w:p>
            <w:pPr>
              <w:jc w:val="center"/>
              <w:ind w:right="90"/>
              <w:spacing w:after="0" w:line="156" w:lineRule="exact"/>
              <w:rPr>
                <w:sz w:val="20"/>
                <w:szCs w:val="20"/>
                <w:color w:val="auto"/>
              </w:rPr>
            </w:pPr>
            <w:r>
              <w:rPr>
                <w:rFonts w:ascii="Arial" w:cs="Arial" w:eastAsia="Arial" w:hAnsi="Arial"/>
                <w:sz w:val="18"/>
                <w:szCs w:val="18"/>
                <w:color w:val="auto"/>
                <w:w w:val="89"/>
              </w:rPr>
              <w:t>Total</w:t>
            </w:r>
          </w:p>
        </w:tc>
        <w:tc>
          <w:tcPr>
            <w:tcW w:w="0" w:type="dxa"/>
            <w:vAlign w:val="bottom"/>
          </w:tcPr>
          <w:p>
            <w:pPr>
              <w:spacing w:after="0"/>
              <w:rPr>
                <w:sz w:val="1"/>
                <w:szCs w:val="1"/>
                <w:color w:val="auto"/>
              </w:rPr>
            </w:pPr>
          </w:p>
        </w:tc>
      </w:tr>
      <w:tr>
        <w:trPr>
          <w:trHeight w:val="169"/>
        </w:trPr>
        <w:tc>
          <w:tcPr>
            <w:tcW w:w="4760" w:type="dxa"/>
            <w:vAlign w:val="bottom"/>
          </w:tcPr>
          <w:p>
            <w:pPr>
              <w:spacing w:after="0"/>
              <w:rPr>
                <w:sz w:val="14"/>
                <w:szCs w:val="14"/>
                <w:color w:val="auto"/>
              </w:rPr>
            </w:pPr>
          </w:p>
        </w:tc>
        <w:tc>
          <w:tcPr>
            <w:tcW w:w="1080" w:type="dxa"/>
            <w:vAlign w:val="bottom"/>
            <w:gridSpan w:val="2"/>
          </w:tcPr>
          <w:p>
            <w:pPr>
              <w:jc w:val="center"/>
              <w:ind w:right="80"/>
              <w:spacing w:after="0" w:line="169" w:lineRule="exact"/>
              <w:rPr>
                <w:sz w:val="20"/>
                <w:szCs w:val="20"/>
                <w:color w:val="auto"/>
              </w:rPr>
            </w:pPr>
            <w:r>
              <w:rPr>
                <w:rFonts w:ascii="Arial" w:cs="Arial" w:eastAsia="Arial" w:hAnsi="Arial"/>
                <w:sz w:val="18"/>
                <w:szCs w:val="18"/>
                <w:color w:val="auto"/>
                <w:w w:val="95"/>
              </w:rPr>
              <w:t>Number of</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center"/>
              <w:ind w:right="240"/>
              <w:spacing w:after="0" w:line="169" w:lineRule="exact"/>
              <w:rPr>
                <w:sz w:val="20"/>
                <w:szCs w:val="20"/>
                <w:color w:val="auto"/>
              </w:rPr>
            </w:pPr>
            <w:r>
              <w:rPr>
                <w:rFonts w:ascii="Arial" w:cs="Arial" w:eastAsia="Arial" w:hAnsi="Arial"/>
                <w:sz w:val="18"/>
                <w:szCs w:val="18"/>
                <w:color w:val="auto"/>
                <w:w w:val="94"/>
              </w:rPr>
              <w:t>Paid-In</w:t>
            </w:r>
          </w:p>
        </w:tc>
        <w:tc>
          <w:tcPr>
            <w:tcW w:w="140" w:type="dxa"/>
            <w:vAlign w:val="bottom"/>
          </w:tcPr>
          <w:p>
            <w:pPr>
              <w:spacing w:after="0"/>
              <w:rPr>
                <w:sz w:val="14"/>
                <w:szCs w:val="14"/>
                <w:color w:val="auto"/>
              </w:rPr>
            </w:pPr>
          </w:p>
        </w:tc>
        <w:tc>
          <w:tcPr>
            <w:tcW w:w="900" w:type="dxa"/>
            <w:vAlign w:val="bottom"/>
            <w:gridSpan w:val="2"/>
          </w:tcPr>
          <w:p>
            <w:pPr>
              <w:ind w:left="20"/>
              <w:spacing w:after="0" w:line="169" w:lineRule="exact"/>
              <w:rPr>
                <w:sz w:val="20"/>
                <w:szCs w:val="20"/>
                <w:color w:val="auto"/>
              </w:rPr>
            </w:pPr>
            <w:r>
              <w:rPr>
                <w:rFonts w:ascii="Arial" w:cs="Arial" w:eastAsia="Arial" w:hAnsi="Arial"/>
                <w:sz w:val="18"/>
                <w:szCs w:val="18"/>
                <w:color w:val="auto"/>
              </w:rPr>
              <w:t>Retained</w:t>
            </w:r>
          </w:p>
        </w:tc>
        <w:tc>
          <w:tcPr>
            <w:tcW w:w="1240" w:type="dxa"/>
            <w:vAlign w:val="bottom"/>
            <w:gridSpan w:val="3"/>
          </w:tcPr>
          <w:p>
            <w:pPr>
              <w:ind w:left="20"/>
              <w:spacing w:after="0" w:line="169" w:lineRule="exact"/>
              <w:rPr>
                <w:sz w:val="20"/>
                <w:szCs w:val="20"/>
                <w:color w:val="auto"/>
              </w:rPr>
            </w:pPr>
            <w:r>
              <w:rPr>
                <w:rFonts w:ascii="Arial" w:cs="Arial" w:eastAsia="Arial" w:hAnsi="Arial"/>
                <w:sz w:val="18"/>
                <w:szCs w:val="18"/>
                <w:color w:val="auto"/>
                <w:w w:val="95"/>
              </w:rPr>
              <w:t>Comprehensive</w:t>
            </w:r>
          </w:p>
        </w:tc>
        <w:tc>
          <w:tcPr>
            <w:tcW w:w="1020" w:type="dxa"/>
            <w:vAlign w:val="bottom"/>
            <w:gridSpan w:val="2"/>
          </w:tcPr>
          <w:p>
            <w:pPr>
              <w:ind w:left="20"/>
              <w:spacing w:after="0" w:line="169" w:lineRule="exact"/>
              <w:rPr>
                <w:sz w:val="20"/>
                <w:szCs w:val="20"/>
                <w:color w:val="auto"/>
              </w:rPr>
            </w:pPr>
            <w:r>
              <w:rPr>
                <w:rFonts w:ascii="Arial" w:cs="Arial" w:eastAsia="Arial" w:hAnsi="Arial"/>
                <w:sz w:val="18"/>
                <w:szCs w:val="18"/>
                <w:color w:val="auto"/>
                <w:w w:val="91"/>
              </w:rPr>
              <w:t>Stockholders'</w:t>
            </w:r>
          </w:p>
        </w:tc>
        <w:tc>
          <w:tcPr>
            <w:tcW w:w="0" w:type="dxa"/>
            <w:vAlign w:val="bottom"/>
          </w:tcPr>
          <w:p>
            <w:pPr>
              <w:spacing w:after="0"/>
              <w:rPr>
                <w:sz w:val="1"/>
                <w:szCs w:val="1"/>
                <w:color w:val="auto"/>
              </w:rPr>
            </w:pPr>
          </w:p>
        </w:tc>
      </w:tr>
      <w:tr>
        <w:trPr>
          <w:trHeight w:val="243"/>
        </w:trPr>
        <w:tc>
          <w:tcPr>
            <w:tcW w:w="47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080" w:type="dxa"/>
            <w:vAlign w:val="bottom"/>
            <w:gridSpan w:val="2"/>
          </w:tcPr>
          <w:p>
            <w:pPr>
              <w:jc w:val="center"/>
              <w:ind w:right="80"/>
              <w:spacing w:after="0"/>
              <w:rPr>
                <w:sz w:val="20"/>
                <w:szCs w:val="20"/>
                <w:color w:val="auto"/>
              </w:rPr>
            </w:pPr>
            <w:r>
              <w:rPr>
                <w:rFonts w:ascii="Arial" w:cs="Arial" w:eastAsia="Arial" w:hAnsi="Arial"/>
                <w:sz w:val="18"/>
                <w:szCs w:val="18"/>
                <w:color w:val="auto"/>
                <w:w w:val="84"/>
              </w:rPr>
              <w:t>Shares</w:t>
            </w:r>
          </w:p>
        </w:tc>
        <w:tc>
          <w:tcPr>
            <w:tcW w:w="160" w:type="dxa"/>
            <w:vAlign w:val="bottom"/>
          </w:tcPr>
          <w:p>
            <w:pPr>
              <w:spacing w:after="0"/>
              <w:rPr>
                <w:sz w:val="21"/>
                <w:szCs w:val="21"/>
                <w:color w:val="auto"/>
              </w:rPr>
            </w:pPr>
          </w:p>
        </w:tc>
        <w:tc>
          <w:tcPr>
            <w:tcW w:w="920" w:type="dxa"/>
            <w:vAlign w:val="bottom"/>
            <w:gridSpan w:val="2"/>
          </w:tcPr>
          <w:p>
            <w:pPr>
              <w:ind w:left="40"/>
              <w:spacing w:after="0"/>
              <w:rPr>
                <w:sz w:val="20"/>
                <w:szCs w:val="20"/>
                <w:color w:val="auto"/>
              </w:rPr>
            </w:pPr>
            <w:r>
              <w:rPr>
                <w:rFonts w:ascii="Arial" w:cs="Arial" w:eastAsia="Arial" w:hAnsi="Arial"/>
                <w:sz w:val="18"/>
                <w:szCs w:val="18"/>
                <w:color w:val="auto"/>
              </w:rPr>
              <w:t>Amount</w:t>
            </w:r>
          </w:p>
        </w:tc>
        <w:tc>
          <w:tcPr>
            <w:tcW w:w="160" w:type="dxa"/>
            <w:vAlign w:val="bottom"/>
          </w:tcPr>
          <w:p>
            <w:pPr>
              <w:spacing w:after="0"/>
              <w:rPr>
                <w:sz w:val="21"/>
                <w:szCs w:val="21"/>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Capital</w:t>
            </w:r>
          </w:p>
        </w:tc>
        <w:tc>
          <w:tcPr>
            <w:tcW w:w="140" w:type="dxa"/>
            <w:vAlign w:val="bottom"/>
          </w:tcPr>
          <w:p>
            <w:pPr>
              <w:spacing w:after="0"/>
              <w:rPr>
                <w:sz w:val="21"/>
                <w:szCs w:val="21"/>
                <w:color w:val="auto"/>
              </w:rPr>
            </w:pPr>
          </w:p>
        </w:tc>
        <w:tc>
          <w:tcPr>
            <w:tcW w:w="900" w:type="dxa"/>
            <w:vAlign w:val="bottom"/>
            <w:gridSpan w:val="2"/>
          </w:tcPr>
          <w:p>
            <w:pPr>
              <w:ind w:left="20"/>
              <w:spacing w:after="0"/>
              <w:rPr>
                <w:sz w:val="20"/>
                <w:szCs w:val="20"/>
                <w:color w:val="auto"/>
              </w:rPr>
            </w:pPr>
            <w:r>
              <w:rPr>
                <w:rFonts w:ascii="Arial" w:cs="Arial" w:eastAsia="Arial" w:hAnsi="Arial"/>
                <w:sz w:val="18"/>
                <w:szCs w:val="18"/>
                <w:color w:val="auto"/>
              </w:rPr>
              <w:t>Earnings</w:t>
            </w:r>
          </w:p>
        </w:tc>
        <w:tc>
          <w:tcPr>
            <w:tcW w:w="100" w:type="dxa"/>
            <w:vAlign w:val="bottom"/>
          </w:tcPr>
          <w:p>
            <w:pPr>
              <w:spacing w:after="0"/>
              <w:rPr>
                <w:sz w:val="21"/>
                <w:szCs w:val="21"/>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Loss</w:t>
            </w:r>
          </w:p>
        </w:tc>
        <w:tc>
          <w:tcPr>
            <w:tcW w:w="200" w:type="dxa"/>
            <w:vAlign w:val="bottom"/>
          </w:tcPr>
          <w:p>
            <w:pPr>
              <w:spacing w:after="0"/>
              <w:rPr>
                <w:sz w:val="21"/>
                <w:szCs w:val="21"/>
                <w:color w:val="auto"/>
              </w:rPr>
            </w:pPr>
          </w:p>
        </w:tc>
        <w:tc>
          <w:tcPr>
            <w:tcW w:w="820" w:type="dxa"/>
            <w:vAlign w:val="bottom"/>
          </w:tcPr>
          <w:p>
            <w:pPr>
              <w:jc w:val="center"/>
              <w:ind w:right="90"/>
              <w:spacing w:after="0"/>
              <w:rPr>
                <w:sz w:val="20"/>
                <w:szCs w:val="20"/>
                <w:color w:val="auto"/>
              </w:rPr>
            </w:pPr>
            <w:r>
              <w:rPr>
                <w:rFonts w:ascii="Arial" w:cs="Arial" w:eastAsia="Arial" w:hAnsi="Arial"/>
                <w:sz w:val="18"/>
                <w:szCs w:val="18"/>
                <w:color w:val="auto"/>
                <w:w w:val="95"/>
              </w:rPr>
              <w:t>Equity</w:t>
            </w:r>
          </w:p>
        </w:tc>
        <w:tc>
          <w:tcPr>
            <w:tcW w:w="0" w:type="dxa"/>
            <w:vAlign w:val="bottom"/>
          </w:tcPr>
          <w:p>
            <w:pPr>
              <w:spacing w:after="0"/>
              <w:rPr>
                <w:sz w:val="1"/>
                <w:szCs w:val="1"/>
                <w:color w:val="auto"/>
              </w:rPr>
            </w:pPr>
          </w:p>
        </w:tc>
      </w:tr>
      <w:tr>
        <w:trPr>
          <w:trHeight w:val="223"/>
        </w:trPr>
        <w:tc>
          <w:tcPr>
            <w:tcW w:w="4760" w:type="dxa"/>
            <w:vAlign w:val="bottom"/>
          </w:tcPr>
          <w:p>
            <w:pPr>
              <w:ind w:left="20"/>
              <w:spacing w:after="0"/>
              <w:rPr>
                <w:sz w:val="20"/>
                <w:szCs w:val="20"/>
                <w:color w:val="auto"/>
              </w:rPr>
            </w:pPr>
            <w:r>
              <w:rPr>
                <w:rFonts w:ascii="Arial" w:cs="Arial" w:eastAsia="Arial" w:hAnsi="Arial"/>
                <w:sz w:val="18"/>
                <w:szCs w:val="18"/>
                <w:color w:val="auto"/>
              </w:rPr>
              <w:t>Balance, December 1, 2021</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44,146</w:t>
            </w:r>
          </w:p>
        </w:tc>
        <w:tc>
          <w:tcPr>
            <w:tcW w:w="8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441</w:t>
            </w:r>
          </w:p>
        </w:tc>
        <w:tc>
          <w:tcPr>
            <w:tcW w:w="8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354,235</w:t>
            </w:r>
          </w:p>
        </w:tc>
        <w:tc>
          <w:tcPr>
            <w:tcW w:w="80" w:type="dxa"/>
            <w:vAlign w:val="bottom"/>
          </w:tcPr>
          <w:p>
            <w:pPr>
              <w:spacing w:after="0"/>
              <w:rPr>
                <w:sz w:val="19"/>
                <w:szCs w:val="19"/>
                <w:color w:val="auto"/>
              </w:rPr>
            </w:pPr>
          </w:p>
        </w:tc>
        <w:tc>
          <w:tcPr>
            <w:tcW w:w="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90,256</w:t>
            </w:r>
          </w:p>
        </w:tc>
        <w:tc>
          <w:tcPr>
            <w:tcW w:w="80" w:type="dxa"/>
            <w:vAlign w:val="bottom"/>
          </w:tcPr>
          <w:p>
            <w:pPr>
              <w:spacing w:after="0"/>
              <w:rPr>
                <w:sz w:val="19"/>
                <w:szCs w:val="19"/>
                <w:color w:val="auto"/>
              </w:rPr>
            </w:pPr>
          </w:p>
        </w:tc>
        <w:tc>
          <w:tcPr>
            <w:tcW w:w="100" w:type="dxa"/>
            <w:vAlign w:val="bottom"/>
            <w:tcBorders>
              <w:top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(32,443)</w:t>
            </w:r>
          </w:p>
        </w:tc>
        <w:tc>
          <w:tcPr>
            <w:tcW w:w="80" w:type="dxa"/>
            <w:vAlign w:val="bottom"/>
          </w:tcPr>
          <w:p>
            <w:pPr>
              <w:spacing w:after="0"/>
              <w:rPr>
                <w:sz w:val="19"/>
                <w:szCs w:val="19"/>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412,489</w:t>
            </w: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Cumulative effect of adoption of ASU 2020-06</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(47,456)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(42,563)</w:t>
            </w:r>
          </w:p>
        </w:tc>
        <w:tc>
          <w:tcPr>
            <w:tcW w:w="0" w:type="dxa"/>
            <w:vAlign w:val="bottom"/>
          </w:tcPr>
          <w:p>
            <w:pPr>
              <w:spacing w:after="0"/>
              <w:rPr>
                <w:sz w:val="1"/>
                <w:szCs w:val="1"/>
                <w:color w:val="auto"/>
              </w:rPr>
            </w:pPr>
          </w:p>
        </w:tc>
      </w:tr>
      <w:tr>
        <w:trPr>
          <w:trHeight w:val="229"/>
        </w:trPr>
        <w:tc>
          <w:tcPr>
            <w:tcW w:w="4760" w:type="dxa"/>
            <w:vAlign w:val="bottom"/>
          </w:tcPr>
          <w:p>
            <w:pPr>
              <w:ind w:left="360"/>
              <w:spacing w:after="0"/>
              <w:rPr>
                <w:sz w:val="20"/>
                <w:szCs w:val="20"/>
                <w:color w:val="auto"/>
              </w:rPr>
            </w:pPr>
            <w:r>
              <w:rPr>
                <w:rFonts w:ascii="Arial" w:cs="Arial" w:eastAsia="Arial" w:hAnsi="Arial"/>
                <w:sz w:val="18"/>
                <w:szCs w:val="18"/>
                <w:color w:val="auto"/>
                <w:w w:val="99"/>
              </w:rPr>
              <w:t>Issuance of stock under employee stock purchase plan</w:t>
            </w:r>
          </w:p>
        </w:tc>
        <w:tc>
          <w:tcPr>
            <w:tcW w:w="1000" w:type="dxa"/>
            <w:vAlign w:val="bottom"/>
          </w:tcPr>
          <w:p>
            <w:pPr>
              <w:jc w:val="right"/>
              <w:spacing w:after="0"/>
              <w:rPr>
                <w:sz w:val="20"/>
                <w:szCs w:val="20"/>
                <w:color w:val="auto"/>
              </w:rPr>
            </w:pPr>
            <w:r>
              <w:rPr>
                <w:rFonts w:ascii="Arial" w:cs="Arial" w:eastAsia="Arial" w:hAnsi="Arial"/>
                <w:sz w:val="18"/>
                <w:szCs w:val="18"/>
                <w:color w:val="auto"/>
              </w:rPr>
              <w:t>246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7,235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4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7,237</w:t>
            </w: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Exercise of stock options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2,879</w:t>
            </w:r>
          </w:p>
        </w:tc>
        <w:tc>
          <w:tcPr>
            <w:tcW w:w="0" w:type="dxa"/>
            <w:vAlign w:val="bottom"/>
          </w:tcPr>
          <w:p>
            <w:pPr>
              <w:spacing w:after="0"/>
              <w:rPr>
                <w:sz w:val="1"/>
                <w:szCs w:val="1"/>
                <w:color w:val="auto"/>
              </w:rPr>
            </w:pPr>
          </w:p>
        </w:tc>
      </w:tr>
      <w:tr>
        <w:trPr>
          <w:trHeight w:val="176"/>
        </w:trPr>
        <w:tc>
          <w:tcPr>
            <w:tcW w:w="4760" w:type="dxa"/>
            <w:vAlign w:val="bottom"/>
          </w:tcPr>
          <w:p>
            <w:pPr>
              <w:ind w:left="360"/>
              <w:spacing w:after="0" w:line="176" w:lineRule="exact"/>
              <w:rPr>
                <w:sz w:val="20"/>
                <w:szCs w:val="20"/>
                <w:color w:val="auto"/>
              </w:rPr>
            </w:pPr>
            <w:r>
              <w:rPr>
                <w:rFonts w:ascii="Arial" w:cs="Arial" w:eastAsia="Arial" w:hAnsi="Arial"/>
                <w:sz w:val="18"/>
                <w:szCs w:val="18"/>
                <w:color w:val="auto"/>
                <w:w w:val="89"/>
              </w:rPr>
              <w:t>Vesting of restricted stock units and release of deferred stock</w:t>
            </w: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760" w:type="dxa"/>
            <w:vAlign w:val="bottom"/>
          </w:tcPr>
          <w:p>
            <w:pPr>
              <w:ind w:left="360"/>
              <w:spacing w:after="0"/>
              <w:rPr>
                <w:sz w:val="20"/>
                <w:szCs w:val="20"/>
                <w:color w:val="auto"/>
              </w:rPr>
            </w:pPr>
            <w:r>
              <w:rPr>
                <w:rFonts w:ascii="Arial" w:cs="Arial" w:eastAsia="Arial" w:hAnsi="Arial"/>
                <w:sz w:val="18"/>
                <w:szCs w:val="18"/>
                <w:color w:val="auto"/>
              </w:rPr>
              <w:t>units</w:t>
            </w:r>
          </w:p>
        </w:tc>
        <w:tc>
          <w:tcPr>
            <w:tcW w:w="1000" w:type="dxa"/>
            <w:vAlign w:val="bottom"/>
          </w:tcPr>
          <w:p>
            <w:pPr>
              <w:jc w:val="right"/>
              <w:spacing w:after="0"/>
              <w:rPr>
                <w:sz w:val="20"/>
                <w:szCs w:val="20"/>
                <w:color w:val="auto"/>
              </w:rPr>
            </w:pPr>
            <w:r>
              <w:rPr>
                <w:rFonts w:ascii="Arial" w:cs="Arial" w:eastAsia="Arial" w:hAnsi="Arial"/>
                <w:sz w:val="18"/>
                <w:szCs w:val="18"/>
                <w:color w:val="auto"/>
              </w:rPr>
              <w:t>188</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14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4"/>
              </w:rPr>
              <w:t>Withholding tax payments related to net issuance of RSUs</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(5,405)</w:t>
            </w:r>
          </w:p>
        </w:tc>
        <w:tc>
          <w:tcPr>
            <w:tcW w:w="0" w:type="dxa"/>
            <w:vAlign w:val="bottom"/>
          </w:tcPr>
          <w:p>
            <w:pPr>
              <w:spacing w:after="0"/>
              <w:rPr>
                <w:sz w:val="1"/>
                <w:szCs w:val="1"/>
                <w:color w:val="auto"/>
              </w:rPr>
            </w:pPr>
          </w:p>
        </w:tc>
      </w:tr>
      <w:tr>
        <w:trPr>
          <w:trHeight w:val="229"/>
        </w:trPr>
        <w:tc>
          <w:tcPr>
            <w:tcW w:w="476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26,110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4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26,110</w:t>
            </w: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Dividends declared</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(23,525)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(23,525)</w:t>
            </w:r>
          </w:p>
        </w:tc>
        <w:tc>
          <w:tcPr>
            <w:tcW w:w="0" w:type="dxa"/>
            <w:vAlign w:val="bottom"/>
          </w:tcPr>
          <w:p>
            <w:pPr>
              <w:spacing w:after="0"/>
              <w:rPr>
                <w:sz w:val="1"/>
                <w:szCs w:val="1"/>
                <w:color w:val="auto"/>
              </w:rPr>
            </w:pPr>
          </w:p>
        </w:tc>
      </w:tr>
      <w:tr>
        <w:trPr>
          <w:trHeight w:val="229"/>
        </w:trPr>
        <w:tc>
          <w:tcPr>
            <w:tcW w:w="4760" w:type="dxa"/>
            <w:vAlign w:val="bottom"/>
          </w:tcPr>
          <w:p>
            <w:pPr>
              <w:ind w:left="360"/>
              <w:spacing w:after="0"/>
              <w:rPr>
                <w:sz w:val="20"/>
                <w:szCs w:val="20"/>
                <w:color w:val="auto"/>
              </w:rPr>
            </w:pPr>
            <w:r>
              <w:rPr>
                <w:rFonts w:ascii="Arial" w:cs="Arial" w:eastAsia="Arial" w:hAnsi="Arial"/>
                <w:sz w:val="18"/>
                <w:szCs w:val="18"/>
                <w:color w:val="auto"/>
              </w:rPr>
              <w:t>Treasury stock repurchases and retirements</w:t>
            </w:r>
          </w:p>
        </w:tc>
        <w:tc>
          <w:tcPr>
            <w:tcW w:w="1000" w:type="dxa"/>
            <w:vAlign w:val="bottom"/>
          </w:tcPr>
          <w:p>
            <w:pPr>
              <w:jc w:val="right"/>
              <w:spacing w:after="0"/>
              <w:rPr>
                <w:sz w:val="20"/>
                <w:szCs w:val="20"/>
                <w:color w:val="auto"/>
              </w:rPr>
            </w:pPr>
            <w:r>
              <w:rPr>
                <w:rFonts w:ascii="Arial" w:cs="Arial" w:eastAsia="Arial" w:hAnsi="Arial"/>
                <w:sz w:val="18"/>
                <w:szCs w:val="18"/>
                <w:color w:val="auto"/>
              </w:rPr>
              <w:t>(1,660)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(19,036)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(56,472)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(75,524)</w:t>
            </w: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71,361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71,361</w:t>
            </w:r>
          </w:p>
        </w:tc>
        <w:tc>
          <w:tcPr>
            <w:tcW w:w="0" w:type="dxa"/>
            <w:vAlign w:val="bottom"/>
          </w:tcPr>
          <w:p>
            <w:pPr>
              <w:spacing w:after="0"/>
              <w:rPr>
                <w:sz w:val="1"/>
                <w:szCs w:val="1"/>
                <w:color w:val="auto"/>
              </w:rPr>
            </w:pPr>
          </w:p>
        </w:tc>
      </w:tr>
      <w:tr>
        <w:trPr>
          <w:trHeight w:val="230"/>
        </w:trPr>
        <w:tc>
          <w:tcPr>
            <w:tcW w:w="4760" w:type="dxa"/>
            <w:vAlign w:val="bottom"/>
          </w:tcPr>
          <w:p>
            <w:pPr>
              <w:ind w:left="360"/>
              <w:spacing w:after="0"/>
              <w:rPr>
                <w:sz w:val="20"/>
                <w:szCs w:val="20"/>
                <w:color w:val="auto"/>
              </w:rPr>
            </w:pPr>
            <w:r>
              <w:rPr>
                <w:rFonts w:ascii="Arial" w:cs="Arial" w:eastAsia="Arial" w:hAnsi="Arial"/>
                <w:sz w:val="18"/>
                <w:szCs w:val="18"/>
                <w:color w:val="auto"/>
              </w:rPr>
              <w:t>Other comprehensive income</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(6,086)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(6,086)</w:t>
            </w:r>
          </w:p>
        </w:tc>
        <w:tc>
          <w:tcPr>
            <w:tcW w:w="0" w:type="dxa"/>
            <w:vAlign w:val="bottom"/>
          </w:tcPr>
          <w:p>
            <w:pPr>
              <w:spacing w:after="0"/>
              <w:rPr>
                <w:sz w:val="1"/>
                <w:szCs w:val="1"/>
                <w:color w:val="auto"/>
              </w:rPr>
            </w:pPr>
          </w:p>
        </w:tc>
      </w:tr>
      <w:tr>
        <w:trPr>
          <w:trHeight w:val="223"/>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August 31, 2022</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42,998</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318,559</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86,513</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(38,529)</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366,973</w:t>
            </w:r>
          </w:p>
        </w:tc>
        <w:tc>
          <w:tcPr>
            <w:tcW w:w="0" w:type="dxa"/>
            <w:vAlign w:val="bottom"/>
          </w:tcPr>
          <w:p>
            <w:pPr>
              <w:spacing w:after="0"/>
              <w:rPr>
                <w:sz w:val="1"/>
                <w:szCs w:val="1"/>
                <w:color w:val="auto"/>
              </w:rPr>
            </w:pPr>
          </w:p>
        </w:tc>
      </w:tr>
      <w:tr>
        <w:trPr>
          <w:trHeight w:val="763"/>
        </w:trPr>
        <w:tc>
          <w:tcPr>
            <w:tcW w:w="476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gridSpan w:val="11"/>
          </w:tcPr>
          <w:p>
            <w:pPr>
              <w:jc w:val="center"/>
              <w:ind w:right="220"/>
              <w:spacing w:after="0"/>
              <w:rPr>
                <w:sz w:val="20"/>
                <w:szCs w:val="20"/>
                <w:color w:val="auto"/>
              </w:rPr>
            </w:pPr>
            <w:r>
              <w:rPr>
                <w:rFonts w:ascii="Arial" w:cs="Arial" w:eastAsia="Arial" w:hAnsi="Arial"/>
                <w:sz w:val="18"/>
                <w:szCs w:val="18"/>
                <w:color w:val="auto"/>
                <w:w w:val="90"/>
              </w:rPr>
              <w:t>Three Months Ended August 31, 2022</w:t>
            </w: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4760" w:type="dxa"/>
            <w:vAlign w:val="bottom"/>
          </w:tcPr>
          <w:p>
            <w:pPr>
              <w:spacing w:after="0"/>
              <w:rPr>
                <w:sz w:val="15"/>
                <w:szCs w:val="15"/>
                <w:color w:val="auto"/>
              </w:rPr>
            </w:pPr>
          </w:p>
        </w:tc>
        <w:tc>
          <w:tcPr>
            <w:tcW w:w="2080" w:type="dxa"/>
            <w:vAlign w:val="bottom"/>
            <w:gridSpan w:val="4"/>
            <w:vMerge w:val="restart"/>
          </w:tcPr>
          <w:p>
            <w:pPr>
              <w:jc w:val="right"/>
              <w:ind w:right="390"/>
              <w:spacing w:after="0"/>
              <w:rPr>
                <w:sz w:val="20"/>
                <w:szCs w:val="20"/>
                <w:color w:val="auto"/>
              </w:rPr>
            </w:pPr>
            <w:r>
              <w:rPr>
                <w:rFonts w:ascii="Arial" w:cs="Arial" w:eastAsia="Arial" w:hAnsi="Arial"/>
                <w:sz w:val="18"/>
                <w:szCs w:val="18"/>
                <w:color w:val="auto"/>
              </w:rPr>
              <w:t>Common Stock</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180"/>
              <w:spacing w:after="0" w:line="182" w:lineRule="exact"/>
              <w:rPr>
                <w:sz w:val="20"/>
                <w:szCs w:val="20"/>
                <w:color w:val="auto"/>
              </w:rPr>
            </w:pPr>
            <w:r>
              <w:rPr>
                <w:rFonts w:ascii="Arial" w:cs="Arial" w:eastAsia="Arial" w:hAnsi="Arial"/>
                <w:sz w:val="18"/>
                <w:szCs w:val="18"/>
                <w:color w:val="auto"/>
                <w:w w:val="92"/>
              </w:rPr>
              <w:t>Accumulated</w:t>
            </w: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4760" w:type="dxa"/>
            <w:vAlign w:val="bottom"/>
          </w:tcPr>
          <w:p>
            <w:pPr>
              <w:spacing w:after="0"/>
              <w:rPr>
                <w:sz w:val="14"/>
                <w:szCs w:val="14"/>
                <w:color w:val="auto"/>
              </w:rPr>
            </w:pPr>
          </w:p>
        </w:tc>
        <w:tc>
          <w:tcPr>
            <w:tcW w:w="2080" w:type="dxa"/>
            <w:vAlign w:val="bottom"/>
            <w:tcBorders>
              <w:bottom w:val="single" w:sz="8" w:color="auto"/>
            </w:tcBorders>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tcPr>
          <w:p>
            <w:pPr>
              <w:jc w:val="center"/>
              <w:ind w:right="80"/>
              <w:spacing w:after="0" w:line="156" w:lineRule="exact"/>
              <w:rPr>
                <w:sz w:val="20"/>
                <w:szCs w:val="20"/>
                <w:color w:val="auto"/>
              </w:rPr>
            </w:pPr>
            <w:r>
              <w:rPr>
                <w:rFonts w:ascii="Arial" w:cs="Arial" w:eastAsia="Arial" w:hAnsi="Arial"/>
                <w:sz w:val="18"/>
                <w:szCs w:val="18"/>
                <w:color w:val="auto"/>
                <w:w w:val="98"/>
              </w:rPr>
              <w:t>Additional</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180"/>
              <w:spacing w:after="0" w:line="156" w:lineRule="exact"/>
              <w:rPr>
                <w:sz w:val="20"/>
                <w:szCs w:val="20"/>
                <w:color w:val="auto"/>
              </w:rPr>
            </w:pPr>
            <w:r>
              <w:rPr>
                <w:rFonts w:ascii="Arial" w:cs="Arial" w:eastAsia="Arial" w:hAnsi="Arial"/>
                <w:sz w:val="18"/>
                <w:szCs w:val="18"/>
                <w:color w:val="auto"/>
                <w:w w:val="88"/>
              </w:rPr>
              <w:t>Other</w:t>
            </w:r>
          </w:p>
        </w:tc>
        <w:tc>
          <w:tcPr>
            <w:tcW w:w="200" w:type="dxa"/>
            <w:vAlign w:val="bottom"/>
          </w:tcPr>
          <w:p>
            <w:pPr>
              <w:spacing w:after="0"/>
              <w:rPr>
                <w:sz w:val="14"/>
                <w:szCs w:val="14"/>
                <w:color w:val="auto"/>
              </w:rPr>
            </w:pPr>
          </w:p>
        </w:tc>
        <w:tc>
          <w:tcPr>
            <w:tcW w:w="820" w:type="dxa"/>
            <w:vAlign w:val="bottom"/>
          </w:tcPr>
          <w:p>
            <w:pPr>
              <w:jc w:val="center"/>
              <w:ind w:right="90"/>
              <w:spacing w:after="0" w:line="156" w:lineRule="exact"/>
              <w:rPr>
                <w:sz w:val="20"/>
                <w:szCs w:val="20"/>
                <w:color w:val="auto"/>
              </w:rPr>
            </w:pPr>
            <w:r>
              <w:rPr>
                <w:rFonts w:ascii="Arial" w:cs="Arial" w:eastAsia="Arial" w:hAnsi="Arial"/>
                <w:sz w:val="18"/>
                <w:szCs w:val="18"/>
                <w:color w:val="auto"/>
                <w:w w:val="89"/>
              </w:rPr>
              <w:t>Total</w:t>
            </w:r>
          </w:p>
        </w:tc>
        <w:tc>
          <w:tcPr>
            <w:tcW w:w="0" w:type="dxa"/>
            <w:vAlign w:val="bottom"/>
          </w:tcPr>
          <w:p>
            <w:pPr>
              <w:spacing w:after="0"/>
              <w:rPr>
                <w:sz w:val="1"/>
                <w:szCs w:val="1"/>
                <w:color w:val="auto"/>
              </w:rPr>
            </w:pPr>
          </w:p>
        </w:tc>
      </w:tr>
      <w:tr>
        <w:trPr>
          <w:trHeight w:val="169"/>
        </w:trPr>
        <w:tc>
          <w:tcPr>
            <w:tcW w:w="4760" w:type="dxa"/>
            <w:vAlign w:val="bottom"/>
          </w:tcPr>
          <w:p>
            <w:pPr>
              <w:spacing w:after="0"/>
              <w:rPr>
                <w:sz w:val="14"/>
                <w:szCs w:val="14"/>
                <w:color w:val="auto"/>
              </w:rPr>
            </w:pPr>
          </w:p>
        </w:tc>
        <w:tc>
          <w:tcPr>
            <w:tcW w:w="1080" w:type="dxa"/>
            <w:vAlign w:val="bottom"/>
            <w:gridSpan w:val="2"/>
          </w:tcPr>
          <w:p>
            <w:pPr>
              <w:jc w:val="center"/>
              <w:ind w:right="80"/>
              <w:spacing w:after="0" w:line="169" w:lineRule="exact"/>
              <w:rPr>
                <w:sz w:val="20"/>
                <w:szCs w:val="20"/>
                <w:color w:val="auto"/>
              </w:rPr>
            </w:pPr>
            <w:r>
              <w:rPr>
                <w:rFonts w:ascii="Arial" w:cs="Arial" w:eastAsia="Arial" w:hAnsi="Arial"/>
                <w:sz w:val="18"/>
                <w:szCs w:val="18"/>
                <w:color w:val="auto"/>
                <w:w w:val="95"/>
              </w:rPr>
              <w:t>Number of</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center"/>
              <w:ind w:right="240"/>
              <w:spacing w:after="0" w:line="169" w:lineRule="exact"/>
              <w:rPr>
                <w:sz w:val="20"/>
                <w:szCs w:val="20"/>
                <w:color w:val="auto"/>
              </w:rPr>
            </w:pPr>
            <w:r>
              <w:rPr>
                <w:rFonts w:ascii="Arial" w:cs="Arial" w:eastAsia="Arial" w:hAnsi="Arial"/>
                <w:sz w:val="18"/>
                <w:szCs w:val="18"/>
                <w:color w:val="auto"/>
                <w:w w:val="94"/>
              </w:rPr>
              <w:t>Paid-In</w:t>
            </w:r>
          </w:p>
        </w:tc>
        <w:tc>
          <w:tcPr>
            <w:tcW w:w="140" w:type="dxa"/>
            <w:vAlign w:val="bottom"/>
          </w:tcPr>
          <w:p>
            <w:pPr>
              <w:spacing w:after="0"/>
              <w:rPr>
                <w:sz w:val="14"/>
                <w:szCs w:val="14"/>
                <w:color w:val="auto"/>
              </w:rPr>
            </w:pPr>
          </w:p>
        </w:tc>
        <w:tc>
          <w:tcPr>
            <w:tcW w:w="900" w:type="dxa"/>
            <w:vAlign w:val="bottom"/>
            <w:gridSpan w:val="2"/>
          </w:tcPr>
          <w:p>
            <w:pPr>
              <w:ind w:left="20"/>
              <w:spacing w:after="0" w:line="169" w:lineRule="exact"/>
              <w:rPr>
                <w:sz w:val="20"/>
                <w:szCs w:val="20"/>
                <w:color w:val="auto"/>
              </w:rPr>
            </w:pPr>
            <w:r>
              <w:rPr>
                <w:rFonts w:ascii="Arial" w:cs="Arial" w:eastAsia="Arial" w:hAnsi="Arial"/>
                <w:sz w:val="18"/>
                <w:szCs w:val="18"/>
                <w:color w:val="auto"/>
              </w:rPr>
              <w:t>Retained</w:t>
            </w:r>
          </w:p>
        </w:tc>
        <w:tc>
          <w:tcPr>
            <w:tcW w:w="1240" w:type="dxa"/>
            <w:vAlign w:val="bottom"/>
            <w:gridSpan w:val="3"/>
          </w:tcPr>
          <w:p>
            <w:pPr>
              <w:ind w:left="20"/>
              <w:spacing w:after="0" w:line="169" w:lineRule="exact"/>
              <w:rPr>
                <w:sz w:val="20"/>
                <w:szCs w:val="20"/>
                <w:color w:val="auto"/>
              </w:rPr>
            </w:pPr>
            <w:r>
              <w:rPr>
                <w:rFonts w:ascii="Arial" w:cs="Arial" w:eastAsia="Arial" w:hAnsi="Arial"/>
                <w:sz w:val="18"/>
                <w:szCs w:val="18"/>
                <w:color w:val="auto"/>
                <w:w w:val="95"/>
              </w:rPr>
              <w:t>Comprehensive</w:t>
            </w:r>
          </w:p>
        </w:tc>
        <w:tc>
          <w:tcPr>
            <w:tcW w:w="1020" w:type="dxa"/>
            <w:vAlign w:val="bottom"/>
            <w:gridSpan w:val="2"/>
          </w:tcPr>
          <w:p>
            <w:pPr>
              <w:ind w:left="20"/>
              <w:spacing w:after="0" w:line="169" w:lineRule="exact"/>
              <w:rPr>
                <w:sz w:val="20"/>
                <w:szCs w:val="20"/>
                <w:color w:val="auto"/>
              </w:rPr>
            </w:pPr>
            <w:r>
              <w:rPr>
                <w:rFonts w:ascii="Arial" w:cs="Arial" w:eastAsia="Arial" w:hAnsi="Arial"/>
                <w:sz w:val="18"/>
                <w:szCs w:val="18"/>
                <w:color w:val="auto"/>
                <w:w w:val="91"/>
              </w:rPr>
              <w:t>Stockholders'</w:t>
            </w:r>
          </w:p>
        </w:tc>
        <w:tc>
          <w:tcPr>
            <w:tcW w:w="0" w:type="dxa"/>
            <w:vAlign w:val="bottom"/>
          </w:tcPr>
          <w:p>
            <w:pPr>
              <w:spacing w:after="0"/>
              <w:rPr>
                <w:sz w:val="1"/>
                <w:szCs w:val="1"/>
                <w:color w:val="auto"/>
              </w:rPr>
            </w:pPr>
          </w:p>
        </w:tc>
      </w:tr>
      <w:tr>
        <w:trPr>
          <w:trHeight w:val="243"/>
        </w:trPr>
        <w:tc>
          <w:tcPr>
            <w:tcW w:w="47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080" w:type="dxa"/>
            <w:vAlign w:val="bottom"/>
            <w:gridSpan w:val="2"/>
          </w:tcPr>
          <w:p>
            <w:pPr>
              <w:jc w:val="center"/>
              <w:ind w:right="80"/>
              <w:spacing w:after="0"/>
              <w:rPr>
                <w:sz w:val="20"/>
                <w:szCs w:val="20"/>
                <w:color w:val="auto"/>
              </w:rPr>
            </w:pPr>
            <w:r>
              <w:rPr>
                <w:rFonts w:ascii="Arial" w:cs="Arial" w:eastAsia="Arial" w:hAnsi="Arial"/>
                <w:sz w:val="18"/>
                <w:szCs w:val="18"/>
                <w:color w:val="auto"/>
                <w:w w:val="84"/>
              </w:rPr>
              <w:t>Shares</w:t>
            </w:r>
          </w:p>
        </w:tc>
        <w:tc>
          <w:tcPr>
            <w:tcW w:w="160" w:type="dxa"/>
            <w:vAlign w:val="bottom"/>
          </w:tcPr>
          <w:p>
            <w:pPr>
              <w:spacing w:after="0"/>
              <w:rPr>
                <w:sz w:val="21"/>
                <w:szCs w:val="21"/>
                <w:color w:val="auto"/>
              </w:rPr>
            </w:pPr>
          </w:p>
        </w:tc>
        <w:tc>
          <w:tcPr>
            <w:tcW w:w="920" w:type="dxa"/>
            <w:vAlign w:val="bottom"/>
            <w:gridSpan w:val="2"/>
          </w:tcPr>
          <w:p>
            <w:pPr>
              <w:ind w:left="40"/>
              <w:spacing w:after="0"/>
              <w:rPr>
                <w:sz w:val="20"/>
                <w:szCs w:val="20"/>
                <w:color w:val="auto"/>
              </w:rPr>
            </w:pPr>
            <w:r>
              <w:rPr>
                <w:rFonts w:ascii="Arial" w:cs="Arial" w:eastAsia="Arial" w:hAnsi="Arial"/>
                <w:sz w:val="18"/>
                <w:szCs w:val="18"/>
                <w:color w:val="auto"/>
              </w:rPr>
              <w:t>Amount</w:t>
            </w:r>
          </w:p>
        </w:tc>
        <w:tc>
          <w:tcPr>
            <w:tcW w:w="160" w:type="dxa"/>
            <w:vAlign w:val="bottom"/>
          </w:tcPr>
          <w:p>
            <w:pPr>
              <w:spacing w:after="0"/>
              <w:rPr>
                <w:sz w:val="21"/>
                <w:szCs w:val="21"/>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Capital</w:t>
            </w:r>
          </w:p>
        </w:tc>
        <w:tc>
          <w:tcPr>
            <w:tcW w:w="140" w:type="dxa"/>
            <w:vAlign w:val="bottom"/>
          </w:tcPr>
          <w:p>
            <w:pPr>
              <w:spacing w:after="0"/>
              <w:rPr>
                <w:sz w:val="21"/>
                <w:szCs w:val="21"/>
                <w:color w:val="auto"/>
              </w:rPr>
            </w:pPr>
          </w:p>
        </w:tc>
        <w:tc>
          <w:tcPr>
            <w:tcW w:w="900" w:type="dxa"/>
            <w:vAlign w:val="bottom"/>
            <w:gridSpan w:val="2"/>
          </w:tcPr>
          <w:p>
            <w:pPr>
              <w:ind w:left="20"/>
              <w:spacing w:after="0"/>
              <w:rPr>
                <w:sz w:val="20"/>
                <w:szCs w:val="20"/>
                <w:color w:val="auto"/>
              </w:rPr>
            </w:pPr>
            <w:r>
              <w:rPr>
                <w:rFonts w:ascii="Arial" w:cs="Arial" w:eastAsia="Arial" w:hAnsi="Arial"/>
                <w:sz w:val="18"/>
                <w:szCs w:val="18"/>
                <w:color w:val="auto"/>
              </w:rPr>
              <w:t>Earnings</w:t>
            </w:r>
          </w:p>
        </w:tc>
        <w:tc>
          <w:tcPr>
            <w:tcW w:w="100" w:type="dxa"/>
            <w:vAlign w:val="bottom"/>
          </w:tcPr>
          <w:p>
            <w:pPr>
              <w:spacing w:after="0"/>
              <w:rPr>
                <w:sz w:val="21"/>
                <w:szCs w:val="21"/>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Loss</w:t>
            </w:r>
          </w:p>
        </w:tc>
        <w:tc>
          <w:tcPr>
            <w:tcW w:w="200" w:type="dxa"/>
            <w:vAlign w:val="bottom"/>
          </w:tcPr>
          <w:p>
            <w:pPr>
              <w:spacing w:after="0"/>
              <w:rPr>
                <w:sz w:val="21"/>
                <w:szCs w:val="21"/>
                <w:color w:val="auto"/>
              </w:rPr>
            </w:pPr>
          </w:p>
        </w:tc>
        <w:tc>
          <w:tcPr>
            <w:tcW w:w="820" w:type="dxa"/>
            <w:vAlign w:val="bottom"/>
          </w:tcPr>
          <w:p>
            <w:pPr>
              <w:jc w:val="center"/>
              <w:ind w:right="90"/>
              <w:spacing w:after="0"/>
              <w:rPr>
                <w:sz w:val="20"/>
                <w:szCs w:val="20"/>
                <w:color w:val="auto"/>
              </w:rPr>
            </w:pPr>
            <w:r>
              <w:rPr>
                <w:rFonts w:ascii="Arial" w:cs="Arial" w:eastAsia="Arial" w:hAnsi="Arial"/>
                <w:sz w:val="18"/>
                <w:szCs w:val="18"/>
                <w:color w:val="auto"/>
                <w:w w:val="95"/>
              </w:rPr>
              <w:t>Equity</w:t>
            </w:r>
          </w:p>
        </w:tc>
        <w:tc>
          <w:tcPr>
            <w:tcW w:w="0" w:type="dxa"/>
            <w:vAlign w:val="bottom"/>
          </w:tcPr>
          <w:p>
            <w:pPr>
              <w:spacing w:after="0"/>
              <w:rPr>
                <w:sz w:val="1"/>
                <w:szCs w:val="1"/>
                <w:color w:val="auto"/>
              </w:rPr>
            </w:pPr>
          </w:p>
        </w:tc>
      </w:tr>
      <w:tr>
        <w:trPr>
          <w:trHeight w:val="223"/>
        </w:trPr>
        <w:tc>
          <w:tcPr>
            <w:tcW w:w="4760" w:type="dxa"/>
            <w:vAlign w:val="bottom"/>
          </w:tcPr>
          <w:p>
            <w:pPr>
              <w:ind w:left="20"/>
              <w:spacing w:after="0"/>
              <w:rPr>
                <w:sz w:val="20"/>
                <w:szCs w:val="20"/>
                <w:color w:val="auto"/>
              </w:rPr>
            </w:pPr>
            <w:r>
              <w:rPr>
                <w:rFonts w:ascii="Arial" w:cs="Arial" w:eastAsia="Arial" w:hAnsi="Arial"/>
                <w:sz w:val="18"/>
                <w:szCs w:val="18"/>
                <w:color w:val="auto"/>
              </w:rPr>
              <w:t>Balance, June 1, 2022</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43,454</w:t>
            </w:r>
          </w:p>
        </w:tc>
        <w:tc>
          <w:tcPr>
            <w:tcW w:w="8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435</w:t>
            </w:r>
          </w:p>
        </w:tc>
        <w:tc>
          <w:tcPr>
            <w:tcW w:w="8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309,913</w:t>
            </w:r>
          </w:p>
        </w:tc>
        <w:tc>
          <w:tcPr>
            <w:tcW w:w="80" w:type="dxa"/>
            <w:vAlign w:val="bottom"/>
          </w:tcPr>
          <w:p>
            <w:pPr>
              <w:spacing w:after="0"/>
              <w:rPr>
                <w:sz w:val="19"/>
                <w:szCs w:val="19"/>
                <w:color w:val="auto"/>
              </w:rPr>
            </w:pPr>
          </w:p>
        </w:tc>
        <w:tc>
          <w:tcPr>
            <w:tcW w:w="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93,885</w:t>
            </w:r>
          </w:p>
        </w:tc>
        <w:tc>
          <w:tcPr>
            <w:tcW w:w="80" w:type="dxa"/>
            <w:vAlign w:val="bottom"/>
          </w:tcPr>
          <w:p>
            <w:pPr>
              <w:spacing w:after="0"/>
              <w:rPr>
                <w:sz w:val="19"/>
                <w:szCs w:val="19"/>
                <w:color w:val="auto"/>
              </w:rPr>
            </w:pPr>
          </w:p>
        </w:tc>
        <w:tc>
          <w:tcPr>
            <w:tcW w:w="100" w:type="dxa"/>
            <w:vAlign w:val="bottom"/>
            <w:tcBorders>
              <w:top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(32,087)</w:t>
            </w:r>
          </w:p>
        </w:tc>
        <w:tc>
          <w:tcPr>
            <w:tcW w:w="80" w:type="dxa"/>
            <w:vAlign w:val="bottom"/>
          </w:tcPr>
          <w:p>
            <w:pPr>
              <w:spacing w:after="0"/>
              <w:rPr>
                <w:sz w:val="19"/>
                <w:szCs w:val="19"/>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372,146</w:t>
            </w: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9"/>
              </w:rPr>
              <w:t>Issuance of stock under employee stock purchase plan</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30"/>
        </w:trPr>
        <w:tc>
          <w:tcPr>
            <w:tcW w:w="4760" w:type="dxa"/>
            <w:vAlign w:val="bottom"/>
          </w:tcPr>
          <w:p>
            <w:pPr>
              <w:ind w:left="360"/>
              <w:spacing w:after="0"/>
              <w:rPr>
                <w:sz w:val="20"/>
                <w:szCs w:val="20"/>
                <w:color w:val="auto"/>
              </w:rPr>
            </w:pPr>
            <w:r>
              <w:rPr>
                <w:rFonts w:ascii="Arial" w:cs="Arial" w:eastAsia="Arial" w:hAnsi="Arial"/>
                <w:sz w:val="18"/>
                <w:szCs w:val="18"/>
                <w:color w:val="auto"/>
              </w:rPr>
              <w:t>Exercise of stock options</w:t>
            </w:r>
          </w:p>
        </w:tc>
        <w:tc>
          <w:tcPr>
            <w:tcW w:w="100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4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8,639</w:t>
            </w:r>
          </w:p>
        </w:tc>
        <w:tc>
          <w:tcPr>
            <w:tcW w:w="0" w:type="dxa"/>
            <w:vAlign w:val="bottom"/>
          </w:tcPr>
          <w:p>
            <w:pPr>
              <w:spacing w:after="0"/>
              <w:rPr>
                <w:sz w:val="1"/>
                <w:szCs w:val="1"/>
                <w:color w:val="auto"/>
              </w:rPr>
            </w:pPr>
          </w:p>
        </w:tc>
      </w:tr>
      <w:tr>
        <w:trPr>
          <w:trHeight w:val="230"/>
        </w:trPr>
        <w:tc>
          <w:tcPr>
            <w:tcW w:w="4760" w:type="dxa"/>
            <w:vAlign w:val="bottom"/>
          </w:tcPr>
          <w:p>
            <w:pPr>
              <w:ind w:left="360"/>
              <w:spacing w:after="0"/>
              <w:rPr>
                <w:sz w:val="20"/>
                <w:szCs w:val="20"/>
                <w:color w:val="auto"/>
              </w:rPr>
            </w:pPr>
            <w:r>
              <w:rPr>
                <w:rFonts w:ascii="Arial" w:cs="Arial" w:eastAsia="Arial" w:hAnsi="Arial"/>
                <w:sz w:val="18"/>
                <w:szCs w:val="18"/>
                <w:color w:val="auto"/>
              </w:rPr>
              <w:t>Dividends declared</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(7,783)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(7,783)</w:t>
            </w: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Treasury stock repurchases and retirements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(21,386)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(24,051)</w:t>
            </w:r>
          </w:p>
        </w:tc>
        <w:tc>
          <w:tcPr>
            <w:tcW w:w="0" w:type="dxa"/>
            <w:vAlign w:val="bottom"/>
          </w:tcPr>
          <w:p>
            <w:pPr>
              <w:spacing w:after="0"/>
              <w:rPr>
                <w:sz w:val="1"/>
                <w:szCs w:val="1"/>
                <w:color w:val="auto"/>
              </w:rPr>
            </w:pPr>
          </w:p>
        </w:tc>
      </w:tr>
      <w:tr>
        <w:trPr>
          <w:trHeight w:val="230"/>
        </w:trPr>
        <w:tc>
          <w:tcPr>
            <w:tcW w:w="476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21,797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21,797</w:t>
            </w: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comprehensive loss</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(6,442)</w:t>
            </w:r>
          </w:p>
        </w:tc>
        <w:tc>
          <w:tcPr>
            <w:tcW w:w="0" w:type="dxa"/>
            <w:vAlign w:val="bottom"/>
          </w:tcPr>
          <w:p>
            <w:pPr>
              <w:spacing w:after="0"/>
              <w:rPr>
                <w:sz w:val="1"/>
                <w:szCs w:val="1"/>
                <w:color w:val="auto"/>
              </w:rPr>
            </w:pPr>
          </w:p>
        </w:tc>
      </w:tr>
      <w:tr>
        <w:trPr>
          <w:trHeight w:val="223"/>
        </w:trPr>
        <w:tc>
          <w:tcPr>
            <w:tcW w:w="4760" w:type="dxa"/>
            <w:vAlign w:val="bottom"/>
          </w:tcPr>
          <w:p>
            <w:pPr>
              <w:ind w:left="20"/>
              <w:spacing w:after="0"/>
              <w:rPr>
                <w:sz w:val="20"/>
                <w:szCs w:val="20"/>
                <w:color w:val="auto"/>
              </w:rPr>
            </w:pPr>
            <w:r>
              <w:rPr>
                <w:rFonts w:ascii="Arial" w:cs="Arial" w:eastAsia="Arial" w:hAnsi="Arial"/>
                <w:sz w:val="18"/>
                <w:szCs w:val="18"/>
                <w:color w:val="auto"/>
              </w:rPr>
              <w:t>Balance, August 31, 2022</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42,998</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430</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318,559</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86,513</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(38,529)</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366,973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8180" w:type="dxa"/>
            <w:vAlign w:val="bottom"/>
          </w:tcPr>
          <w:p>
            <w:pPr>
              <w:spacing w:after="0"/>
              <w:rPr>
                <w:sz w:val="20"/>
                <w:szCs w:val="20"/>
                <w:color w:val="auto"/>
              </w:rPr>
            </w:pPr>
            <w:r>
              <w:rPr>
                <w:rFonts w:ascii="Arial" w:cs="Arial" w:eastAsia="Arial" w:hAnsi="Arial"/>
                <w:sz w:val="18"/>
                <w:szCs w:val="18"/>
                <w:b w:val="1"/>
                <w:bCs w:val="1"/>
                <w:color w:val="auto"/>
              </w:rPr>
              <w:t>Condensed Consolidated Statements of Cash Flows</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8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4"/>
          </w:tcPr>
          <w:p>
            <w:pPr>
              <w:jc w:val="right"/>
              <w:ind w:right="71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23"/>
        </w:trPr>
        <w:tc>
          <w:tcPr>
            <w:tcW w:w="81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19"/>
                <w:szCs w:val="19"/>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auto"/>
              </w:rPr>
              <w:t>August 31, 2023</w:t>
            </w:r>
          </w:p>
        </w:tc>
        <w:tc>
          <w:tcPr>
            <w:tcW w:w="140" w:type="dxa"/>
            <w:vAlign w:val="bottom"/>
          </w:tcPr>
          <w:p>
            <w:pPr>
              <w:spacing w:after="0"/>
              <w:rPr>
                <w:sz w:val="19"/>
                <w:szCs w:val="19"/>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w w:val="89"/>
              </w:rPr>
              <w:t>August 31, 2022</w:t>
            </w:r>
          </w:p>
        </w:tc>
        <w:tc>
          <w:tcPr>
            <w:tcW w:w="0" w:type="dxa"/>
            <w:vAlign w:val="bottom"/>
          </w:tcPr>
          <w:p>
            <w:pPr>
              <w:spacing w:after="0"/>
              <w:rPr>
                <w:sz w:val="1"/>
                <w:szCs w:val="1"/>
                <w:color w:val="auto"/>
              </w:rPr>
            </w:pPr>
          </w:p>
        </w:tc>
      </w:tr>
      <w:tr>
        <w:trPr>
          <w:trHeight w:val="209"/>
        </w:trPr>
        <w:tc>
          <w:tcPr>
            <w:tcW w:w="8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18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54,862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71,361</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80" w:type="dxa"/>
            <w:vAlign w:val="bottom"/>
          </w:tcPr>
          <w:p>
            <w:pPr>
              <w:ind w:left="680"/>
              <w:spacing w:after="0"/>
              <w:rPr>
                <w:sz w:val="20"/>
                <w:szCs w:val="20"/>
                <w:color w:val="auto"/>
              </w:rPr>
            </w:pPr>
            <w:r>
              <w:rPr>
                <w:rFonts w:ascii="Arial" w:cs="Arial" w:eastAsia="Arial" w:hAnsi="Arial"/>
                <w:sz w:val="18"/>
                <w:szCs w:val="18"/>
                <w:color w:val="auto"/>
              </w:rPr>
              <w:t>Depreciation and amortization of property and equipment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4,690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3,682</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Amortization of acquired intangibles and other</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52,545</w:t>
            </w:r>
          </w:p>
        </w:tc>
        <w:tc>
          <w:tcPr>
            <w:tcW w:w="0" w:type="dxa"/>
            <w:vAlign w:val="bottom"/>
          </w:tcPr>
          <w:p>
            <w:pPr>
              <w:spacing w:after="0"/>
              <w:rPr>
                <w:sz w:val="1"/>
                <w:szCs w:val="1"/>
                <w:color w:val="auto"/>
              </w:rPr>
            </w:pPr>
          </w:p>
        </w:tc>
      </w:tr>
      <w:tr>
        <w:trPr>
          <w:trHeight w:val="230"/>
        </w:trPr>
        <w:tc>
          <w:tcPr>
            <w:tcW w:w="8180" w:type="dxa"/>
            <w:vAlign w:val="bottom"/>
          </w:tcPr>
          <w:p>
            <w:pPr>
              <w:ind w:left="680"/>
              <w:spacing w:after="0"/>
              <w:rPr>
                <w:sz w:val="20"/>
                <w:szCs w:val="20"/>
                <w:color w:val="auto"/>
              </w:rPr>
            </w:pPr>
            <w:r>
              <w:rPr>
                <w:rFonts w:ascii="Arial" w:cs="Arial" w:eastAsia="Arial" w:hAnsi="Arial"/>
                <w:sz w:val="18"/>
                <w:szCs w:val="18"/>
                <w:color w:val="auto"/>
              </w:rPr>
              <w:t>Amortization of debt discount and issuance costs on Notes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1,595</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Stock-based compensation</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26,110</w:t>
            </w:r>
          </w:p>
        </w:tc>
        <w:tc>
          <w:tcPr>
            <w:tcW w:w="0" w:type="dxa"/>
            <w:vAlign w:val="bottom"/>
          </w:tcPr>
          <w:p>
            <w:pPr>
              <w:spacing w:after="0"/>
              <w:rPr>
                <w:sz w:val="1"/>
                <w:szCs w:val="1"/>
                <w:color w:val="auto"/>
              </w:rPr>
            </w:pPr>
          </w:p>
        </w:tc>
      </w:tr>
      <w:tr>
        <w:trPr>
          <w:trHeight w:val="230"/>
        </w:trPr>
        <w:tc>
          <w:tcPr>
            <w:tcW w:w="8180" w:type="dxa"/>
            <w:vAlign w:val="bottom"/>
          </w:tcPr>
          <w:p>
            <w:pPr>
              <w:ind w:left="680"/>
              <w:spacing w:after="0"/>
              <w:rPr>
                <w:sz w:val="20"/>
                <w:szCs w:val="20"/>
                <w:color w:val="auto"/>
              </w:rPr>
            </w:pPr>
            <w:r>
              <w:rPr>
                <w:rFonts w:ascii="Arial" w:cs="Arial" w:eastAsia="Arial" w:hAnsi="Arial"/>
                <w:sz w:val="18"/>
                <w:szCs w:val="18"/>
                <w:color w:val="auto"/>
              </w:rPr>
              <w:t>Non-cash lease expense</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6,958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5,919</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Gain on sale of assets held for sale</w:t>
            </w: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(10,770)</w:t>
            </w:r>
          </w:p>
        </w:tc>
        <w:tc>
          <w:tcPr>
            <w:tcW w:w="0" w:type="dxa"/>
            <w:vAlign w:val="bottom"/>
          </w:tcPr>
          <w:p>
            <w:pPr>
              <w:spacing w:after="0"/>
              <w:rPr>
                <w:sz w:val="1"/>
                <w:szCs w:val="1"/>
                <w:color w:val="auto"/>
              </w:rPr>
            </w:pPr>
          </w:p>
        </w:tc>
      </w:tr>
      <w:tr>
        <w:trPr>
          <w:trHeight w:val="229"/>
        </w:trPr>
        <w:tc>
          <w:tcPr>
            <w:tcW w:w="8180" w:type="dxa"/>
            <w:vAlign w:val="bottom"/>
          </w:tcPr>
          <w:p>
            <w:pPr>
              <w:ind w:left="680"/>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(18,521)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Credit losses and other sales allowances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29"/>
        </w:trPr>
        <w:tc>
          <w:tcPr>
            <w:tcW w:w="8180" w:type="dxa"/>
            <w:vAlign w:val="bottom"/>
          </w:tcPr>
          <w:p>
            <w:pPr>
              <w:ind w:left="680"/>
              <w:spacing w:after="0"/>
              <w:rPr>
                <w:sz w:val="20"/>
                <w:szCs w:val="20"/>
                <w:color w:val="auto"/>
              </w:rPr>
            </w:pPr>
            <w:r>
              <w:rPr>
                <w:rFonts w:ascii="Arial" w:cs="Arial" w:eastAsia="Arial" w:hAnsi="Arial"/>
                <w:sz w:val="18"/>
                <w:szCs w:val="18"/>
                <w:color w:val="auto"/>
              </w:rPr>
              <w:t>Changes in operating assets and liabilities:</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Accounts receivable</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2,858</w:t>
            </w:r>
          </w:p>
        </w:tc>
        <w:tc>
          <w:tcPr>
            <w:tcW w:w="0" w:type="dxa"/>
            <w:vAlign w:val="bottom"/>
          </w:tcPr>
          <w:p>
            <w:pPr>
              <w:spacing w:after="0"/>
              <w:rPr>
                <w:sz w:val="1"/>
                <w:szCs w:val="1"/>
                <w:color w:val="auto"/>
              </w:rPr>
            </w:pPr>
          </w:p>
        </w:tc>
      </w:tr>
      <w:tr>
        <w:trPr>
          <w:trHeight w:val="230"/>
        </w:trPr>
        <w:tc>
          <w:tcPr>
            <w:tcW w:w="8180" w:type="dxa"/>
            <w:vAlign w:val="bottom"/>
          </w:tcPr>
          <w:p>
            <w:pPr>
              <w:ind w:left="1120"/>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14,294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11,174</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w:t>
            </w:r>
          </w:p>
        </w:tc>
        <w:tc>
          <w:tcPr>
            <w:tcW w:w="0" w:type="dxa"/>
            <w:vAlign w:val="bottom"/>
          </w:tcPr>
          <w:p>
            <w:pPr>
              <w:spacing w:after="0"/>
              <w:rPr>
                <w:sz w:val="1"/>
                <w:szCs w:val="1"/>
                <w:color w:val="auto"/>
              </w:rPr>
            </w:pPr>
          </w:p>
        </w:tc>
      </w:tr>
      <w:tr>
        <w:trPr>
          <w:trHeight w:val="230"/>
        </w:trPr>
        <w:tc>
          <w:tcPr>
            <w:tcW w:w="8180" w:type="dxa"/>
            <w:vAlign w:val="bottom"/>
          </w:tcPr>
          <w:p>
            <w:pPr>
              <w:ind w:left="1120"/>
              <w:spacing w:after="0"/>
              <w:rPr>
                <w:sz w:val="20"/>
                <w:szCs w:val="20"/>
                <w:color w:val="auto"/>
              </w:rPr>
            </w:pPr>
            <w:r>
              <w:rPr>
                <w:rFonts w:ascii="Arial" w:cs="Arial" w:eastAsia="Arial" w:hAnsi="Arial"/>
                <w:sz w:val="18"/>
                <w:szCs w:val="18"/>
                <w:color w:val="auto"/>
              </w:rPr>
              <w:t>Accounts payable and accrued liabilities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(14,027)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(10,055)</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Lease liabilities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(6,481)</w:t>
            </w:r>
          </w:p>
        </w:tc>
        <w:tc>
          <w:tcPr>
            <w:tcW w:w="0" w:type="dxa"/>
            <w:vAlign w:val="bottom"/>
          </w:tcPr>
          <w:p>
            <w:pPr>
              <w:spacing w:after="0"/>
              <w:rPr>
                <w:sz w:val="1"/>
                <w:szCs w:val="1"/>
                <w:color w:val="auto"/>
              </w:rPr>
            </w:pPr>
          </w:p>
        </w:tc>
      </w:tr>
      <w:tr>
        <w:trPr>
          <w:trHeight w:val="229"/>
        </w:trPr>
        <w:tc>
          <w:tcPr>
            <w:tcW w:w="8180" w:type="dxa"/>
            <w:vAlign w:val="bottom"/>
          </w:tcPr>
          <w:p>
            <w:pPr>
              <w:ind w:left="1120"/>
              <w:spacing w:after="0"/>
              <w:rPr>
                <w:sz w:val="20"/>
                <w:szCs w:val="20"/>
                <w:color w:val="auto"/>
              </w:rPr>
            </w:pPr>
            <w:r>
              <w:rPr>
                <w:rFonts w:ascii="Arial" w:cs="Arial" w:eastAsia="Arial" w:hAnsi="Arial"/>
                <w:sz w:val="18"/>
                <w:szCs w:val="18"/>
                <w:color w:val="auto"/>
              </w:rPr>
              <w:t>Income taxes payable</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2,362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Deferred revenue, net</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(39,011)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5,673</w:t>
            </w:r>
          </w:p>
        </w:tc>
        <w:tc>
          <w:tcPr>
            <w:tcW w:w="0" w:type="dxa"/>
            <w:vAlign w:val="bottom"/>
          </w:tcPr>
          <w:p>
            <w:pPr>
              <w:spacing w:after="0"/>
              <w:rPr>
                <w:sz w:val="1"/>
                <w:szCs w:val="1"/>
                <w:color w:val="auto"/>
              </w:rPr>
            </w:pPr>
          </w:p>
        </w:tc>
      </w:tr>
      <w:tr>
        <w:trPr>
          <w:trHeight w:val="223"/>
        </w:trPr>
        <w:tc>
          <w:tcPr>
            <w:tcW w:w="8180" w:type="dxa"/>
            <w:vAlign w:val="bottom"/>
            <w:tcBorders>
              <w:bottom w:val="single" w:sz="8" w:color="CCEEFF"/>
            </w:tcBorders>
          </w:tcPr>
          <w:p>
            <w:pPr>
              <w:ind w:left="1440"/>
              <w:spacing w:after="0"/>
              <w:rPr>
                <w:sz w:val="20"/>
                <w:szCs w:val="20"/>
                <w:color w:val="auto"/>
              </w:rPr>
            </w:pPr>
            <w:r>
              <w:rPr>
                <w:rFonts w:ascii="Arial" w:cs="Arial" w:eastAsia="Arial" w:hAnsi="Arial"/>
                <w:sz w:val="18"/>
                <w:szCs w:val="18"/>
                <w:color w:val="auto"/>
              </w:rPr>
              <w:t>Net cash flows from operating activities</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140,759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152,023</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(used in) from investing activities: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80" w:type="dxa"/>
            <w:vAlign w:val="bottom"/>
          </w:tcPr>
          <w:p>
            <w:pPr>
              <w:ind w:left="360"/>
              <w:spacing w:after="0"/>
              <w:rPr>
                <w:sz w:val="20"/>
                <w:szCs w:val="20"/>
                <w:color w:val="auto"/>
              </w:rPr>
            </w:pPr>
            <w:r>
              <w:rPr>
                <w:rFonts w:ascii="Arial" w:cs="Arial" w:eastAsia="Arial" w:hAnsi="Arial"/>
                <w:sz w:val="18"/>
                <w:szCs w:val="18"/>
                <w:color w:val="auto"/>
              </w:rPr>
              <w:t>Purchases of investments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(15,262)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and maturities of investments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30"/>
        </w:trPr>
        <w:tc>
          <w:tcPr>
            <w:tcW w:w="8180" w:type="dxa"/>
            <w:vAlign w:val="bottom"/>
          </w:tcPr>
          <w:p>
            <w:pPr>
              <w:ind w:left="360"/>
              <w:spacing w:after="0"/>
              <w:rPr>
                <w:sz w:val="20"/>
                <w:szCs w:val="20"/>
                <w:color w:val="auto"/>
              </w:rPr>
            </w:pPr>
            <w:r>
              <w:rPr>
                <w:rFonts w:ascii="Arial" w:cs="Arial" w:eastAsia="Arial" w:hAnsi="Arial"/>
                <w:sz w:val="18"/>
                <w:szCs w:val="18"/>
                <w:color w:val="auto"/>
              </w:rPr>
              <w:t>Purchases of property and equipment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(3,181)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(3,086)</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Payments for acquisitions, net of cash acquired</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(355,250)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180" w:type="dxa"/>
            <w:vAlign w:val="bottom"/>
          </w:tcPr>
          <w:p>
            <w:pPr>
              <w:ind w:left="360"/>
              <w:spacing w:after="0"/>
              <w:rPr>
                <w:sz w:val="20"/>
                <w:szCs w:val="20"/>
                <w:color w:val="auto"/>
              </w:rPr>
            </w:pPr>
            <w:r>
              <w:rPr>
                <w:rFonts w:ascii="Arial" w:cs="Arial" w:eastAsia="Arial" w:hAnsi="Arial"/>
                <w:sz w:val="18"/>
                <w:szCs w:val="18"/>
                <w:color w:val="auto"/>
              </w:rPr>
              <w:t>Proceeds from sale of long-lived assets, net</w:t>
            </w:r>
          </w:p>
        </w:tc>
        <w:tc>
          <w:tcPr>
            <w:tcW w:w="14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25,998</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investing activities</w:t>
            </w: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23"/>
        </w:trPr>
        <w:tc>
          <w:tcPr>
            <w:tcW w:w="8180" w:type="dxa"/>
            <w:vAlign w:val="bottom"/>
            <w:tcBorders>
              <w:bottom w:val="single" w:sz="8" w:color="CCEEFF"/>
            </w:tcBorders>
          </w:tcPr>
          <w:p>
            <w:pPr>
              <w:ind w:left="1440"/>
              <w:spacing w:after="0"/>
              <w:rPr>
                <w:sz w:val="20"/>
                <w:szCs w:val="20"/>
                <w:color w:val="auto"/>
              </w:rPr>
            </w:pPr>
            <w:r>
              <w:rPr>
                <w:rFonts w:ascii="Arial" w:cs="Arial" w:eastAsia="Arial" w:hAnsi="Arial"/>
                <w:sz w:val="18"/>
                <w:szCs w:val="18"/>
                <w:color w:val="auto"/>
              </w:rPr>
              <w:t>Net cash flows (used in) from investing activities</w:t>
            </w:r>
          </w:p>
        </w:tc>
        <w:tc>
          <w:tcPr>
            <w:tcW w:w="1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(357,993)</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24,246</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(used in) financing activities: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80" w:type="dxa"/>
            <w:vAlign w:val="bottom"/>
          </w:tcPr>
          <w:p>
            <w:pPr>
              <w:ind w:left="360"/>
              <w:spacing w:after="0"/>
              <w:rPr>
                <w:sz w:val="20"/>
                <w:szCs w:val="20"/>
                <w:color w:val="auto"/>
              </w:rPr>
            </w:pPr>
            <w:r>
              <w:rPr>
                <w:rFonts w:ascii="Arial" w:cs="Arial" w:eastAsia="Arial" w:hAnsi="Arial"/>
                <w:sz w:val="18"/>
                <w:szCs w:val="18"/>
                <w:color w:val="auto"/>
              </w:rPr>
              <w:t>Proceeds from stock-based compensation plans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20,373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10,384</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Payments for taxes related to net share settlements of equity awards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(5,405)</w:t>
            </w:r>
          </w:p>
        </w:tc>
        <w:tc>
          <w:tcPr>
            <w:tcW w:w="0" w:type="dxa"/>
            <w:vAlign w:val="bottom"/>
          </w:tcPr>
          <w:p>
            <w:pPr>
              <w:spacing w:after="0"/>
              <w:rPr>
                <w:sz w:val="1"/>
                <w:szCs w:val="1"/>
                <w:color w:val="auto"/>
              </w:rPr>
            </w:pPr>
          </w:p>
        </w:tc>
      </w:tr>
      <w:tr>
        <w:trPr>
          <w:trHeight w:val="230"/>
        </w:trPr>
        <w:tc>
          <w:tcPr>
            <w:tcW w:w="8180" w:type="dxa"/>
            <w:vAlign w:val="bottom"/>
          </w:tcPr>
          <w:p>
            <w:pPr>
              <w:ind w:left="360"/>
              <w:spacing w:after="0"/>
              <w:rPr>
                <w:sz w:val="20"/>
                <w:szCs w:val="20"/>
                <w:color w:val="auto"/>
              </w:rPr>
            </w:pPr>
            <w:r>
              <w:rPr>
                <w:rFonts w:ascii="Arial" w:cs="Arial" w:eastAsia="Arial" w:hAnsi="Arial"/>
                <w:sz w:val="18"/>
                <w:szCs w:val="18"/>
                <w:color w:val="auto"/>
              </w:rPr>
              <w:t>Repurchases of common stock</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(75,524)</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Dividend payments to stockholders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(23,669)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(23,351)</w:t>
            </w:r>
          </w:p>
        </w:tc>
        <w:tc>
          <w:tcPr>
            <w:tcW w:w="0" w:type="dxa"/>
            <w:vAlign w:val="bottom"/>
          </w:tcPr>
          <w:p>
            <w:pPr>
              <w:spacing w:after="0"/>
              <w:rPr>
                <w:sz w:val="1"/>
                <w:szCs w:val="1"/>
                <w:color w:val="auto"/>
              </w:rPr>
            </w:pPr>
          </w:p>
        </w:tc>
      </w:tr>
      <w:tr>
        <w:trPr>
          <w:trHeight w:val="230"/>
        </w:trPr>
        <w:tc>
          <w:tcPr>
            <w:tcW w:w="8180" w:type="dxa"/>
            <w:vAlign w:val="bottom"/>
          </w:tcPr>
          <w:p>
            <w:pPr>
              <w:ind w:left="360"/>
              <w:spacing w:after="0"/>
              <w:rPr>
                <w:sz w:val="20"/>
                <w:szCs w:val="20"/>
                <w:color w:val="auto"/>
              </w:rPr>
            </w:pPr>
            <w:r>
              <w:rPr>
                <w:rFonts w:ascii="Arial" w:cs="Arial" w:eastAsia="Arial" w:hAnsi="Arial"/>
                <w:sz w:val="18"/>
                <w:szCs w:val="18"/>
                <w:color w:val="auto"/>
              </w:rPr>
              <w:t>Proceeds from the issuance of debt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195,000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7,474</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Repayment of revolving line of credit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180" w:type="dxa"/>
            <w:vAlign w:val="bottom"/>
          </w:tcPr>
          <w:p>
            <w:pPr>
              <w:ind w:left="360"/>
              <w:spacing w:after="0"/>
              <w:rPr>
                <w:sz w:val="20"/>
                <w:szCs w:val="20"/>
                <w:color w:val="auto"/>
              </w:rPr>
            </w:pPr>
            <w:r>
              <w:rPr>
                <w:rFonts w:ascii="Arial" w:cs="Arial" w:eastAsia="Arial" w:hAnsi="Arial"/>
                <w:sz w:val="18"/>
                <w:szCs w:val="18"/>
                <w:color w:val="auto"/>
              </w:rPr>
              <w:t>Principal payment on term loan</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(5,157)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(5,154)</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 of debt issuance costs</w:t>
            </w: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(1,957)</w:t>
            </w:r>
          </w:p>
        </w:tc>
        <w:tc>
          <w:tcPr>
            <w:tcW w:w="0" w:type="dxa"/>
            <w:vAlign w:val="bottom"/>
          </w:tcPr>
          <w:p>
            <w:pPr>
              <w:spacing w:after="0"/>
              <w:rPr>
                <w:sz w:val="1"/>
                <w:szCs w:val="1"/>
                <w:color w:val="auto"/>
              </w:rPr>
            </w:pPr>
          </w:p>
        </w:tc>
      </w:tr>
      <w:tr>
        <w:trPr>
          <w:trHeight w:val="223"/>
        </w:trPr>
        <w:tc>
          <w:tcPr>
            <w:tcW w:w="8180" w:type="dxa"/>
            <w:vAlign w:val="bottom"/>
            <w:tcBorders>
              <w:bottom w:val="single" w:sz="8" w:color="CCEEFF"/>
            </w:tcBorders>
          </w:tcPr>
          <w:p>
            <w:pPr>
              <w:ind w:left="1440"/>
              <w:spacing w:after="0"/>
              <w:rPr>
                <w:sz w:val="20"/>
                <w:szCs w:val="20"/>
                <w:color w:val="auto"/>
              </w:rPr>
            </w:pPr>
            <w:r>
              <w:rPr>
                <w:rFonts w:ascii="Arial" w:cs="Arial" w:eastAsia="Arial" w:hAnsi="Arial"/>
                <w:sz w:val="18"/>
                <w:szCs w:val="18"/>
                <w:color w:val="auto"/>
              </w:rPr>
              <w:t>Net cash flows from (used in) financing activities</w:t>
            </w:r>
          </w:p>
        </w:tc>
        <w:tc>
          <w:tcPr>
            <w:tcW w:w="1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93,446</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(93,533)</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(14,027)</w:t>
            </w:r>
          </w:p>
        </w:tc>
        <w:tc>
          <w:tcPr>
            <w:tcW w:w="0" w:type="dxa"/>
            <w:vAlign w:val="bottom"/>
          </w:tcPr>
          <w:p>
            <w:pPr>
              <w:spacing w:after="0"/>
              <w:rPr>
                <w:sz w:val="1"/>
                <w:szCs w:val="1"/>
                <w:color w:val="auto"/>
              </w:rPr>
            </w:pPr>
          </w:p>
        </w:tc>
      </w:tr>
      <w:tr>
        <w:trPr>
          <w:trHeight w:val="223"/>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(decrease) increase in cash and cash equivalents</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(118,278)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68,709</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256,277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155,406</w:t>
            </w:r>
          </w:p>
        </w:tc>
        <w:tc>
          <w:tcPr>
            <w:tcW w:w="0" w:type="dxa"/>
            <w:vAlign w:val="bottom"/>
          </w:tcPr>
          <w:p>
            <w:pPr>
              <w:spacing w:after="0"/>
              <w:rPr>
                <w:sz w:val="1"/>
                <w:szCs w:val="1"/>
                <w:color w:val="auto"/>
              </w:rPr>
            </w:pPr>
          </w:p>
        </w:tc>
      </w:tr>
      <w:tr>
        <w:trPr>
          <w:trHeight w:val="223"/>
        </w:trPr>
        <w:tc>
          <w:tcPr>
            <w:tcW w:w="8180" w:type="dxa"/>
            <w:vAlign w:val="bottom"/>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137,999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224,115</w:t>
            </w:r>
          </w:p>
        </w:tc>
        <w:tc>
          <w:tcPr>
            <w:tcW w:w="0" w:type="dxa"/>
            <w:vAlign w:val="bottom"/>
          </w:tcPr>
          <w:p>
            <w:pPr>
              <w:spacing w:after="0"/>
              <w:rPr>
                <w:sz w:val="1"/>
                <w:szCs w:val="1"/>
                <w:color w:val="auto"/>
              </w:rPr>
            </w:pPr>
          </w:p>
        </w:tc>
      </w:tr>
      <w:tr>
        <w:trPr>
          <w:trHeight w:val="20"/>
        </w:trPr>
        <w:tc>
          <w:tcPr>
            <w:tcW w:w="8180" w:type="dxa"/>
            <w:vAlign w:val="bottom"/>
            <w:vMerge w:val="restart"/>
          </w:tcPr>
          <w:p>
            <w:pPr>
              <w:ind w:left="5580"/>
              <w:spacing w:after="0"/>
              <w:rPr>
                <w:sz w:val="20"/>
                <w:szCs w:val="20"/>
                <w:color w:val="auto"/>
              </w:rPr>
            </w:pPr>
            <w:r>
              <w:rPr>
                <w:rFonts w:ascii="Arial" w:cs="Arial" w:eastAsia="Arial" w:hAnsi="Arial"/>
                <w:sz w:val="18"/>
                <w:szCs w:val="18"/>
                <w:color w:val="auto"/>
              </w:rPr>
              <w:t>8</w:t>
            </w: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7"/>
        </w:trPr>
        <w:tc>
          <w:tcPr>
            <w:tcW w:w="81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7600" w:type="dxa"/>
            <w:vAlign w:val="bottom"/>
          </w:tcPr>
          <w:p>
            <w:pPr>
              <w:spacing w:after="0"/>
              <w:rPr>
                <w:sz w:val="20"/>
                <w:szCs w:val="20"/>
                <w:color w:val="auto"/>
              </w:rPr>
            </w:pPr>
            <w:r>
              <w:rPr>
                <w:rFonts w:ascii="Arial" w:cs="Arial" w:eastAsia="Arial" w:hAnsi="Arial"/>
                <w:sz w:val="18"/>
                <w:szCs w:val="18"/>
                <w:b w:val="1"/>
                <w:bCs w:val="1"/>
                <w:color w:val="auto"/>
              </w:rPr>
              <w:t>Condensed Consolidated Statements of Cash Flows, continued</w:t>
            </w:r>
          </w:p>
        </w:tc>
        <w:tc>
          <w:tcPr>
            <w:tcW w:w="2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513"/>
        </w:trPr>
        <w:tc>
          <w:tcPr>
            <w:tcW w:w="76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4"/>
          </w:tcPr>
          <w:p>
            <w:pPr>
              <w:jc w:val="right"/>
              <w:ind w:right="1010"/>
              <w:spacing w:after="0"/>
              <w:rPr>
                <w:sz w:val="20"/>
                <w:szCs w:val="20"/>
                <w:color w:val="auto"/>
              </w:rPr>
            </w:pPr>
            <w:r>
              <w:rPr>
                <w:rFonts w:ascii="Arial" w:cs="Arial" w:eastAsia="Arial" w:hAnsi="Arial"/>
                <w:sz w:val="18"/>
                <w:szCs w:val="18"/>
                <w:color w:val="auto"/>
              </w:rPr>
              <w:t>Nine Months Ended</w:t>
            </w:r>
          </w:p>
        </w:tc>
      </w:tr>
      <w:tr>
        <w:trPr>
          <w:trHeight w:val="223"/>
        </w:trPr>
        <w:tc>
          <w:tcPr>
            <w:tcW w:w="7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gridSpan w:val="2"/>
          </w:tcPr>
          <w:p>
            <w:pPr>
              <w:ind w:left="80"/>
              <w:spacing w:after="0"/>
              <w:rPr>
                <w:sz w:val="20"/>
                <w:szCs w:val="20"/>
                <w:color w:val="auto"/>
              </w:rPr>
            </w:pPr>
            <w:r>
              <w:rPr>
                <w:rFonts w:ascii="Arial" w:cs="Arial" w:eastAsia="Arial" w:hAnsi="Arial"/>
                <w:sz w:val="18"/>
                <w:szCs w:val="18"/>
                <w:color w:val="auto"/>
              </w:rPr>
              <w:t>August 31, 2023</w:t>
            </w:r>
          </w:p>
        </w:tc>
        <w:tc>
          <w:tcPr>
            <w:tcW w:w="180" w:type="dxa"/>
            <w:vAlign w:val="bottom"/>
          </w:tcPr>
          <w:p>
            <w:pPr>
              <w:spacing w:after="0"/>
              <w:rPr>
                <w:sz w:val="19"/>
                <w:szCs w:val="19"/>
                <w:color w:val="auto"/>
              </w:rPr>
            </w:pPr>
          </w:p>
        </w:tc>
        <w:tc>
          <w:tcPr>
            <w:tcW w:w="1580" w:type="dxa"/>
            <w:vAlign w:val="bottom"/>
          </w:tcPr>
          <w:p>
            <w:pPr>
              <w:jc w:val="right"/>
              <w:ind w:right="190"/>
              <w:spacing w:after="0"/>
              <w:rPr>
                <w:sz w:val="20"/>
                <w:szCs w:val="20"/>
                <w:color w:val="auto"/>
              </w:rPr>
            </w:pPr>
            <w:r>
              <w:rPr>
                <w:rFonts w:ascii="Arial" w:cs="Arial" w:eastAsia="Arial" w:hAnsi="Arial"/>
                <w:sz w:val="18"/>
                <w:szCs w:val="18"/>
                <w:color w:val="auto"/>
                <w:w w:val="97"/>
              </w:rPr>
              <w:t>August 31, 2022</w:t>
            </w:r>
          </w:p>
        </w:tc>
      </w:tr>
      <w:tr>
        <w:trPr>
          <w:trHeight w:val="210"/>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Supplemental disclosure:</w:t>
            </w:r>
          </w:p>
        </w:tc>
        <w:tc>
          <w:tcPr>
            <w:tcW w:w="20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r>
      <w:tr>
        <w:trPr>
          <w:trHeight w:val="229"/>
        </w:trPr>
        <w:tc>
          <w:tcPr>
            <w:tcW w:w="7600" w:type="dxa"/>
            <w:vAlign w:val="bottom"/>
          </w:tcPr>
          <w:p>
            <w:pPr>
              <w:ind w:left="360"/>
              <w:spacing w:after="0"/>
              <w:rPr>
                <w:sz w:val="20"/>
                <w:szCs w:val="20"/>
                <w:color w:val="auto"/>
              </w:rPr>
            </w:pPr>
            <w:r>
              <w:rPr>
                <w:rFonts w:ascii="Arial" w:cs="Arial" w:eastAsia="Arial" w:hAnsi="Arial"/>
                <w:sz w:val="18"/>
                <w:szCs w:val="18"/>
                <w:color w:val="auto"/>
              </w:rPr>
              <w:t>Cash paid for income taxes, net of refunds of $924 in 2023 and $920 in 2022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14,640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8,954</w:t>
            </w:r>
          </w:p>
        </w:tc>
      </w:tr>
      <w:tr>
        <w:trPr>
          <w:trHeight w:val="229"/>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paid for interest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5,470</w:t>
            </w:r>
          </w:p>
        </w:tc>
      </w:tr>
      <w:tr>
        <w:trPr>
          <w:trHeight w:val="230"/>
        </w:trPr>
        <w:tc>
          <w:tcPr>
            <w:tcW w:w="7600" w:type="dxa"/>
            <w:vAlign w:val="bottom"/>
          </w:tcPr>
          <w:p>
            <w:pPr>
              <w:ind w:left="360"/>
              <w:spacing w:after="0"/>
              <w:rPr>
                <w:sz w:val="20"/>
                <w:szCs w:val="20"/>
                <w:color w:val="auto"/>
              </w:rPr>
            </w:pPr>
            <w:r>
              <w:rPr>
                <w:rFonts w:ascii="Arial" w:cs="Arial" w:eastAsia="Arial" w:hAnsi="Arial"/>
                <w:sz w:val="18"/>
                <w:szCs w:val="18"/>
                <w:color w:val="auto"/>
              </w:rPr>
              <w:t>Non-cash investing and financing activities:</w:t>
            </w: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175"/>
        </w:trPr>
        <w:tc>
          <w:tcPr>
            <w:tcW w:w="7600" w:type="dxa"/>
            <w:vAlign w:val="bottom"/>
            <w:shd w:val="clear" w:color="auto" w:fill="CCEEFF"/>
          </w:tcPr>
          <w:p>
            <w:pPr>
              <w:ind w:left="560"/>
              <w:spacing w:after="0" w:line="176" w:lineRule="exact"/>
              <w:rPr>
                <w:sz w:val="20"/>
                <w:szCs w:val="20"/>
                <w:color w:val="auto"/>
              </w:rPr>
            </w:pPr>
            <w:r>
              <w:rPr>
                <w:rFonts w:ascii="Arial" w:cs="Arial" w:eastAsia="Arial" w:hAnsi="Arial"/>
                <w:sz w:val="18"/>
                <w:szCs w:val="18"/>
                <w:color w:val="auto"/>
                <w:w w:val="91"/>
              </w:rPr>
              <w:t>Total fair value of restricted stock awards, restricted stock units and deferred stock units on date</w:t>
            </w:r>
          </w:p>
        </w:tc>
        <w:tc>
          <w:tcPr>
            <w:tcW w:w="2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r>
      <w:tr>
        <w:trPr>
          <w:trHeight w:val="243"/>
        </w:trPr>
        <w:tc>
          <w:tcPr>
            <w:tcW w:w="76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vested</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23,077</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18,204</w:t>
            </w:r>
          </w:p>
        </w:tc>
      </w:tr>
      <w:tr>
        <w:trPr>
          <w:trHeight w:val="230"/>
        </w:trPr>
        <w:tc>
          <w:tcPr>
            <w:tcW w:w="7600" w:type="dxa"/>
            <w:vAlign w:val="bottom"/>
          </w:tcPr>
          <w:p>
            <w:pPr>
              <w:ind w:left="560"/>
              <w:spacing w:after="0"/>
              <w:rPr>
                <w:sz w:val="20"/>
                <w:szCs w:val="20"/>
                <w:color w:val="auto"/>
              </w:rPr>
            </w:pPr>
            <w:r>
              <w:rPr>
                <w:rFonts w:ascii="Arial" w:cs="Arial" w:eastAsia="Arial" w:hAnsi="Arial"/>
                <w:sz w:val="18"/>
                <w:szCs w:val="18"/>
                <w:color w:val="auto"/>
              </w:rPr>
              <w:t>Dividends declared and unpaid</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8,354</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8,099</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239" w:lineRule="exact"/>
        <w:rPr>
          <w:sz w:val="20"/>
          <w:szCs w:val="20"/>
          <w:color w:val="auto"/>
        </w:rPr>
      </w:pPr>
    </w:p>
    <w:p>
      <w:pPr>
        <w:ind w:right="420"/>
        <w:spacing w:after="0" w:line="266" w:lineRule="auto"/>
        <w:rPr>
          <w:sz w:val="20"/>
          <w:szCs w:val="20"/>
          <w:color w:val="auto"/>
        </w:rPr>
      </w:pPr>
      <w:r>
        <w:rPr>
          <w:rFonts w:ascii="Arial" w:cs="Arial" w:eastAsia="Arial" w:hAnsi="Arial"/>
          <w:sz w:val="18"/>
          <w:szCs w:val="18"/>
          <w:b w:val="1"/>
          <w:bCs w:val="1"/>
          <w:color w:val="auto"/>
        </w:rPr>
        <w:t xml:space="preserve">Company Overview </w:t>
      </w:r>
      <w:r>
        <w:rPr>
          <w:rFonts w:ascii="Arial" w:cs="Arial" w:eastAsia="Arial" w:hAnsi="Arial"/>
          <w:sz w:val="18"/>
          <w:szCs w:val="18"/>
          <w:color w:val="auto"/>
        </w:rPr>
        <w:t>- Progress Software Corporation ("Progress," the "Company," "we," "us," or "our") provides enterprise software products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deployment and management of high-impact applications.</w:t>
      </w:r>
    </w:p>
    <w:p>
      <w:pPr>
        <w:spacing w:after="0" w:line="20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Our products are generally sold as perpetual licenses, but certain products also use term licensing models and our cloud-based offerings use a subscription-based model. More than half of our worldwide license revenue is realized through relationships with indirect channel partners, principally independent software vendors, original equipment manufacturers, distributors and value-added resellers. Independent software vendors develop and market applications using our technology and resell our products in conjunction with sales of their own products that incorporate our technology. Original equipment manufacturers are companies that embed our products into their own software products or devices. Value-added resellers are companies that add features or services to our product, then resell it as an integrated product or complete "turn-key" solution.</w:t>
      </w:r>
    </w:p>
    <w:p>
      <w:pPr>
        <w:spacing w:after="0" w:line="20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We operate in North America, Latin America, Europe, the Middle East and Africa ("EMEA"), and Asia and Australia ("Asia Pacific"), through local subsidiaries as well as independent distributors.</w:t>
      </w:r>
    </w:p>
    <w:p>
      <w:pPr>
        <w:spacing w:after="0" w:line="193"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b w:val="1"/>
          <w:bCs w:val="1"/>
          <w:color w:val="auto"/>
        </w:rPr>
        <w:t xml:space="preserve">Basis of Presentation and Significant Accounting Policies </w:t>
      </w:r>
      <w:r>
        <w:rPr>
          <w:rFonts w:ascii="Arial" w:cs="Arial" w:eastAsia="Arial" w:hAnsi="Arial"/>
          <w:sz w:val="18"/>
          <w:szCs w:val="18"/>
          <w:color w:val="auto"/>
        </w:rPr>
        <w:t>- We prepared the accompanying unaudited condensed consolidated financial statements</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the rules and regulations of the Securities and Exchange Commission ("SEC") regarding interim financial reporting. Accordingly, the financial statements do not include all of the information and footnotes required by accounting principles generally accepted in the United States of America ("GAAP") for complete financial statements and these unaudited financial statements should be read in conjunction with the audited financial statements included in our Annual Report on Form 10-K for the fiscal year ended November 30, 2022, as filed with the SEC on January 27, 2023 (our "2022 Annual Report").</w:t>
      </w:r>
    </w:p>
    <w:p>
      <w:pPr>
        <w:spacing w:after="0" w:line="22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made no material changes in the application of our significant accounting policies that were disclosed in our 2022 Annual Report. We have prepared the accompanying unaudited condensed consolidated financial statements on the same basis as the audited financial statements included in our 2022 Annual Report, and these financial statements include all adjustments, consisting only of normal recurring adjustments, necessary for a fair presentation of the results of the interim periods presented. The operating results for the interim periods presented are not necessarily indicative of the results expected for the full fiscal year.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56"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color w:val="auto"/>
        </w:rPr>
        <w:t>The preparation of financial statements requires management to make estimates and assumptions that affect the amounts reported in the financial statements and accompanying notes. On an on-going basis, management evaluates its estimates and records changes in estimates in the period in which they become known. These estimates are based on historical data and experience, as well as various other assumptions that management believes to be reasonable under the circumstances. The most significant estimates relate to revenue recognition and business combinations. Actual results could differ from those estimates.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Reference Rate Reform</w:t>
      </w:r>
    </w:p>
    <w:p>
      <w:pPr>
        <w:spacing w:after="0" w:line="25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 xml:space="preserve">In March 2020, the FASB issued Accounting Standards Update No. 2020-04, </w:t>
      </w:r>
      <w:r>
        <w:rPr>
          <w:rFonts w:ascii="Arial" w:cs="Arial" w:eastAsia="Arial" w:hAnsi="Arial"/>
          <w:sz w:val="17"/>
          <w:szCs w:val="17"/>
          <w:i w:val="1"/>
          <w:iCs w:val="1"/>
          <w:color w:val="auto"/>
        </w:rPr>
        <w:t>Reference Rate Reform (Topic 848): Facilitation of the Effects of Reference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Rate Reform on Financial Reporting </w:t>
      </w:r>
      <w:r>
        <w:rPr>
          <w:rFonts w:ascii="Arial" w:cs="Arial" w:eastAsia="Arial" w:hAnsi="Arial"/>
          <w:sz w:val="17"/>
          <w:szCs w:val="17"/>
          <w:color w:val="auto"/>
        </w:rPr>
        <w:t>("ASU 2020-04"), as amended in December 2022 by Accounting Standards Update No. 2022-06,</w:t>
      </w:r>
      <w:r>
        <w:rPr>
          <w:rFonts w:ascii="Arial" w:cs="Arial" w:eastAsia="Arial" w:hAnsi="Arial"/>
          <w:sz w:val="17"/>
          <w:szCs w:val="17"/>
          <w:i w:val="1"/>
          <w:iCs w:val="1"/>
          <w:color w:val="auto"/>
        </w:rPr>
        <w:t xml:space="preserve"> Reference Rate Reform (Topic 848): Deferral of the Sunset Date of Topic 848 </w:t>
      </w:r>
      <w:r>
        <w:rPr>
          <w:rFonts w:ascii="Arial" w:cs="Arial" w:eastAsia="Arial" w:hAnsi="Arial"/>
          <w:sz w:val="17"/>
          <w:szCs w:val="17"/>
          <w:color w:val="auto"/>
        </w:rPr>
        <w:t>("ASU 2022-06"). ASU 2020-04 provides guidance to alleviate the burden in accounting for</w:t>
      </w:r>
      <w:r>
        <w:rPr>
          <w:rFonts w:ascii="Arial" w:cs="Arial" w:eastAsia="Arial" w:hAnsi="Arial"/>
          <w:sz w:val="17"/>
          <w:szCs w:val="17"/>
          <w:i w:val="1"/>
          <w:iCs w:val="1"/>
          <w:color w:val="auto"/>
        </w:rPr>
        <w:t xml:space="preserve"> </w:t>
      </w:r>
      <w:r>
        <w:rPr>
          <w:rFonts w:ascii="Arial" w:cs="Arial" w:eastAsia="Arial" w:hAnsi="Arial"/>
          <w:sz w:val="17"/>
          <w:szCs w:val="17"/>
          <w:color w:val="auto"/>
        </w:rPr>
        <w:t>reference rate reform by allowing certain expedients and exceptions in applying GAAP to contracts, hedging relationships and other transactions impacted by reference rate reform. The provisions apply only to those transactions that reference the London Interbank Offered Rate ("LIBOR") or another reference rate expected to be discontinued due to reference rate reform. The Company adopted ASU 2020-04 in June 2023, in connection with the amendment of its interest rate swap agreement to implement certain changes in the reference rate from LIBOR to the Secured Overnight Financing Rate ("SOFR"). The application of this expedient preserves the cash flow hedge designation of the interest rate swaps and presentation consistent with past presentation and did not have a material impact on our consolidated financial statements.</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2: Cash and Cash Equivalents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cash and cash equivalents at August 31, 2023 is as follows (in thousands):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Amortized Cost</w:t>
            </w:r>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43"/>
        </w:trPr>
        <w:tc>
          <w:tcPr>
            <w:tcW w:w="5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Basis</w:t>
            </w:r>
          </w:p>
        </w:tc>
        <w:tc>
          <w:tcPr>
            <w:tcW w:w="1520" w:type="dxa"/>
            <w:vAlign w:val="bottom"/>
            <w:gridSpan w:val="3"/>
          </w:tcPr>
          <w:p>
            <w:pPr>
              <w:ind w:left="80"/>
              <w:spacing w:after="0"/>
              <w:rPr>
                <w:sz w:val="20"/>
                <w:szCs w:val="20"/>
                <w:color w:val="auto"/>
              </w:rPr>
            </w:pPr>
            <w:r>
              <w:rPr>
                <w:rFonts w:ascii="Arial" w:cs="Arial" w:eastAsia="Arial" w:hAnsi="Arial"/>
                <w:sz w:val="18"/>
                <w:szCs w:val="18"/>
                <w:color w:val="auto"/>
              </w:rPr>
              <w:t>Unrealized Gains</w:t>
            </w:r>
          </w:p>
        </w:tc>
        <w:tc>
          <w:tcPr>
            <w:tcW w:w="1540" w:type="dxa"/>
            <w:vAlign w:val="bottom"/>
            <w:gridSpan w:val="3"/>
          </w:tcPr>
          <w:p>
            <w:pPr>
              <w:ind w:left="60"/>
              <w:spacing w:after="0"/>
              <w:rPr>
                <w:sz w:val="20"/>
                <w:szCs w:val="20"/>
                <w:color w:val="auto"/>
              </w:rPr>
            </w:pPr>
            <w:r>
              <w:rPr>
                <w:rFonts w:ascii="Arial" w:cs="Arial" w:eastAsia="Arial" w:hAnsi="Arial"/>
                <w:sz w:val="18"/>
                <w:szCs w:val="18"/>
                <w:color w:val="auto"/>
                <w:w w:val="98"/>
              </w:rPr>
              <w:t>Unrealized Losses</w:t>
            </w:r>
          </w:p>
        </w:tc>
        <w:tc>
          <w:tcPr>
            <w:tcW w:w="240" w:type="dxa"/>
            <w:vAlign w:val="bottom"/>
          </w:tcPr>
          <w:p>
            <w:pPr>
              <w:spacing w:after="0"/>
              <w:rPr>
                <w:sz w:val="21"/>
                <w:szCs w:val="21"/>
                <w:color w:val="auto"/>
              </w:rPr>
            </w:pPr>
          </w:p>
        </w:tc>
        <w:tc>
          <w:tcPr>
            <w:tcW w:w="1200" w:type="dxa"/>
            <w:vAlign w:val="bottom"/>
          </w:tcPr>
          <w:p>
            <w:pPr>
              <w:jc w:val="right"/>
              <w:ind w:right="250"/>
              <w:spacing w:after="0"/>
              <w:rPr>
                <w:sz w:val="20"/>
                <w:szCs w:val="20"/>
                <w:color w:val="auto"/>
              </w:rPr>
            </w:pPr>
            <w:r>
              <w:rPr>
                <w:rFonts w:ascii="Arial" w:cs="Arial" w:eastAsia="Arial" w:hAnsi="Arial"/>
                <w:sz w:val="18"/>
                <w:szCs w:val="18"/>
                <w:color w:val="auto"/>
              </w:rPr>
              <w:t>Fair Value</w:t>
            </w:r>
          </w:p>
        </w:tc>
      </w:tr>
      <w:tr>
        <w:trPr>
          <w:trHeight w:val="223"/>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137,889</w:t>
            </w:r>
          </w:p>
        </w:tc>
        <w:tc>
          <w:tcPr>
            <w:tcW w:w="12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137,889</w:t>
            </w: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Money market funds</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48"/>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137,999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137,999</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cash and cash equivalents at November 30, 2022 is as follows (in thousands):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Amortized Cost</w:t>
            </w:r>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43"/>
        </w:trPr>
        <w:tc>
          <w:tcPr>
            <w:tcW w:w="5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Basis</w:t>
            </w:r>
          </w:p>
        </w:tc>
        <w:tc>
          <w:tcPr>
            <w:tcW w:w="1520" w:type="dxa"/>
            <w:vAlign w:val="bottom"/>
            <w:gridSpan w:val="3"/>
          </w:tcPr>
          <w:p>
            <w:pPr>
              <w:ind w:left="80"/>
              <w:spacing w:after="0"/>
              <w:rPr>
                <w:sz w:val="20"/>
                <w:szCs w:val="20"/>
                <w:color w:val="auto"/>
              </w:rPr>
            </w:pPr>
            <w:r>
              <w:rPr>
                <w:rFonts w:ascii="Arial" w:cs="Arial" w:eastAsia="Arial" w:hAnsi="Arial"/>
                <w:sz w:val="18"/>
                <w:szCs w:val="18"/>
                <w:color w:val="auto"/>
              </w:rPr>
              <w:t>Unrealized Gains</w:t>
            </w:r>
          </w:p>
        </w:tc>
        <w:tc>
          <w:tcPr>
            <w:tcW w:w="1540" w:type="dxa"/>
            <w:vAlign w:val="bottom"/>
            <w:gridSpan w:val="3"/>
          </w:tcPr>
          <w:p>
            <w:pPr>
              <w:ind w:left="60"/>
              <w:spacing w:after="0"/>
              <w:rPr>
                <w:sz w:val="20"/>
                <w:szCs w:val="20"/>
                <w:color w:val="auto"/>
              </w:rPr>
            </w:pPr>
            <w:r>
              <w:rPr>
                <w:rFonts w:ascii="Arial" w:cs="Arial" w:eastAsia="Arial" w:hAnsi="Arial"/>
                <w:sz w:val="18"/>
                <w:szCs w:val="18"/>
                <w:color w:val="auto"/>
                <w:w w:val="98"/>
              </w:rPr>
              <w:t>Unrealized Losses</w:t>
            </w:r>
          </w:p>
        </w:tc>
        <w:tc>
          <w:tcPr>
            <w:tcW w:w="240" w:type="dxa"/>
            <w:vAlign w:val="bottom"/>
          </w:tcPr>
          <w:p>
            <w:pPr>
              <w:spacing w:after="0"/>
              <w:rPr>
                <w:sz w:val="21"/>
                <w:szCs w:val="21"/>
                <w:color w:val="auto"/>
              </w:rPr>
            </w:pPr>
          </w:p>
        </w:tc>
        <w:tc>
          <w:tcPr>
            <w:tcW w:w="1200" w:type="dxa"/>
            <w:vAlign w:val="bottom"/>
          </w:tcPr>
          <w:p>
            <w:pPr>
              <w:jc w:val="right"/>
              <w:ind w:right="250"/>
              <w:spacing w:after="0"/>
              <w:rPr>
                <w:sz w:val="20"/>
                <w:szCs w:val="20"/>
                <w:color w:val="auto"/>
              </w:rPr>
            </w:pPr>
            <w:r>
              <w:rPr>
                <w:rFonts w:ascii="Arial" w:cs="Arial" w:eastAsia="Arial" w:hAnsi="Arial"/>
                <w:sz w:val="18"/>
                <w:szCs w:val="18"/>
                <w:color w:val="auto"/>
              </w:rPr>
              <w:t>Fair Value</w:t>
            </w:r>
          </w:p>
        </w:tc>
      </w:tr>
      <w:tr>
        <w:trPr>
          <w:trHeight w:val="223"/>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229,023</w:t>
            </w:r>
          </w:p>
        </w:tc>
        <w:tc>
          <w:tcPr>
            <w:tcW w:w="12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229,023</w:t>
            </w: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Money market funds</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27,254</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27,254</w:t>
            </w:r>
          </w:p>
        </w:tc>
      </w:tr>
      <w:tr>
        <w:trPr>
          <w:trHeight w:val="248"/>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256,277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256,277</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There were no debt securities by contractual maturity due after one year as of August 31, 2023.</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Derivative Instruments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Hedge</w:t>
      </w:r>
    </w:p>
    <w:p>
      <w:pPr>
        <w:spacing w:after="0" w:line="25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On July 9, 2019, we entered into an interest rate swap contract with an initial notional amount of $150.0 million to manage the variability of cash flows associated with approximately one-half of our variable rate debt. The contract matures on April 30, 2024 and requires periodic interest rate settlements. Under this interest rate swap contract, we receive a floating rate based on the greater of 1-month LIBOR or 0.00%, and pay a fixed rate of 1.855% on the outstanding notional amount. In June 2023, the interest rate swap agreement was amended to implement certain changes in the reference rate from LIBOR to SOFR.</w:t>
      </w:r>
    </w:p>
    <w:p>
      <w:pPr>
        <w:spacing w:after="0" w:line="21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We have designated the interest rate swap as a cash flow hedge and assess the hedge effectiveness both at the onset of the hedge and at regular intervals throughout the life of the derivative. To the extent that the interest rate swap is highly effective in offsetting the variability of the hedged cash flows, changes in the fair value of the derivative are included as a component of other comprehensive loss on our condensed consolidated balance sheets. Although we have determined at the onset of the hedge that the interest rate swap will be a highly effective hedge throughout the term of the contract, any portion of the fair value swap subsequently determined to be ineffective will be recognized in earnings. As of August 31, 2023, the fair value of the hedge was a gain of $2.5 million, which was included in other current assets on our condensed consolidated balance sheets. The net amount of accumulated other comprehensive loss reclassified to interest expense during the nine months ended August 31, 2023 and August 31, 2022 was a decrease of $2.6 million and an increase of $1.1 million, respectively.</w:t>
      </w:r>
    </w:p>
    <w:p>
      <w:pPr>
        <w:spacing w:after="0" w:line="20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following table presents our interest rate swap contract where the notional amount reflects the quarterly amortization of the interest rate swap, which is equal to approximately one-half of the corresponding reduction in the balance of our term loan as we make scheduled principal payments. The fair value of the derivative represents the discounted value of the expected future discounted cash flows for the interest rate swap, based on the amortization schedule and the current forward curve for the remaining term of the contract, as of the date of each reporting period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80" w:type="dxa"/>
            <w:vAlign w:val="bottom"/>
            <w:gridSpan w:val="5"/>
          </w:tcPr>
          <w:p>
            <w:pPr>
              <w:ind w:left="820"/>
              <w:spacing w:after="0"/>
              <w:rPr>
                <w:sz w:val="20"/>
                <w:szCs w:val="20"/>
                <w:color w:val="auto"/>
              </w:rPr>
            </w:pPr>
            <w:r>
              <w:rPr>
                <w:rFonts w:ascii="Arial" w:cs="Arial" w:eastAsia="Arial" w:hAnsi="Arial"/>
                <w:sz w:val="18"/>
                <w:szCs w:val="18"/>
                <w:color w:val="auto"/>
              </w:rPr>
              <w:t>August 31, 2023</w:t>
            </w:r>
          </w:p>
        </w:tc>
        <w:tc>
          <w:tcPr>
            <w:tcW w:w="160" w:type="dxa"/>
            <w:vAlign w:val="bottom"/>
          </w:tcPr>
          <w:p>
            <w:pPr>
              <w:spacing w:after="0"/>
              <w:rPr>
                <w:sz w:val="20"/>
                <w:szCs w:val="20"/>
                <w:color w:val="auto"/>
              </w:rPr>
            </w:pPr>
          </w:p>
        </w:tc>
        <w:tc>
          <w:tcPr>
            <w:tcW w:w="2980" w:type="dxa"/>
            <w:vAlign w:val="bottom"/>
            <w:gridSpan w:val="4"/>
          </w:tcPr>
          <w:p>
            <w:pPr>
              <w:ind w:left="700"/>
              <w:spacing w:after="0"/>
              <w:rPr>
                <w:sz w:val="20"/>
                <w:szCs w:val="20"/>
                <w:color w:val="auto"/>
              </w:rPr>
            </w:pPr>
            <w:r>
              <w:rPr>
                <w:rFonts w:ascii="Arial" w:cs="Arial" w:eastAsia="Arial" w:hAnsi="Arial"/>
                <w:sz w:val="18"/>
                <w:szCs w:val="18"/>
                <w:color w:val="auto"/>
              </w:rPr>
              <w:t>November 30, 2022</w:t>
            </w:r>
          </w:p>
        </w:tc>
      </w:tr>
      <w:tr>
        <w:trPr>
          <w:trHeight w:val="223"/>
        </w:trPr>
        <w:tc>
          <w:tcPr>
            <w:tcW w:w="48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color w:val="auto"/>
              </w:rPr>
              <w:t>Notional Value</w:t>
            </w:r>
          </w:p>
        </w:tc>
        <w:tc>
          <w:tcPr>
            <w:tcW w:w="26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Fair Value</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color w:val="auto"/>
              </w:rPr>
              <w:t>Notional Value</w:t>
            </w:r>
          </w:p>
        </w:tc>
        <w:tc>
          <w:tcPr>
            <w:tcW w:w="26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Fair Value</w:t>
            </w:r>
          </w:p>
        </w:tc>
      </w:tr>
      <w:tr>
        <w:trPr>
          <w:trHeight w:val="223"/>
        </w:trPr>
        <w:tc>
          <w:tcPr>
            <w:tcW w:w="4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Interest rate swap contracts designated as cash flow hedges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107,813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w w:val="98"/>
              </w:rPr>
              <w:t>120,000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Forward Contracts</w:t>
      </w:r>
    </w:p>
    <w:p>
      <w:pPr>
        <w:spacing w:after="0" w:line="25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We generally use forward contracts that are not designated as hedging instruments to hedge economically the impact of the variability in exchange rates on intercompany accounts receivable and loans receivable denominated in certain foreign currencies. We generally do not hedge the net assets of our international subsidiaries.</w:t>
      </w:r>
    </w:p>
    <w:p>
      <w:pPr>
        <w:spacing w:after="0" w:line="21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All forward contracts are recorded at fair value on the consolidated balance sheets at the end of each reporting period and generally expire between 30 days and 2 years from the date the contract was entered. At August 31, 2023, $2.4 million and $0.2 million was recorded in other accrued liabilities and other current assets, respectively, on our condensed consolidated balance sheets. At November 30, 2022, $3.1 million and $0.1 million were recorded in other noncurrent liabilities and other current assets, respectively, on our condensed consolidated balance sheets.</w:t>
      </w:r>
    </w:p>
    <w:p>
      <w:pPr>
        <w:spacing w:after="0" w:line="198" w:lineRule="exact"/>
        <w:rPr>
          <w:sz w:val="20"/>
          <w:szCs w:val="20"/>
          <w:color w:val="auto"/>
        </w:rPr>
      </w:pPr>
    </w:p>
    <w:p>
      <w:pPr>
        <w:ind w:right="400"/>
        <w:spacing w:after="0" w:line="257" w:lineRule="auto"/>
        <w:rPr>
          <w:sz w:val="20"/>
          <w:szCs w:val="20"/>
          <w:color w:val="auto"/>
        </w:rPr>
      </w:pPr>
      <w:r>
        <w:rPr>
          <w:rFonts w:ascii="Arial" w:cs="Arial" w:eastAsia="Arial" w:hAnsi="Arial"/>
          <w:sz w:val="18"/>
          <w:szCs w:val="18"/>
          <w:color w:val="auto"/>
        </w:rPr>
        <w:t>In the three and nine months ended August 31, 2023, realized and unrealized gains of $1.1 million and $2.7 million, respectively, from our forward contracts were recognized in foreign currency loss, net, on our condensed consolidated statements of operations. In the three and nine months ended August 31, 2022, realized and unrealized losses of $5.4 million and $9.0 million, respectively, from our forward contracts were recognized in foreign currency loss, net, on our condensed consolidated statements of operations. These gains and losses were substantially offset by realized and unrealized gains and losses in the offsetting positions.</w:t>
      </w:r>
    </w:p>
    <w:p>
      <w:pPr>
        <w:spacing w:after="0" w:line="215"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table below details outstanding foreign currency forward contracts where the notional amount is determined using contract exchange rates (in thousands):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80" w:type="dxa"/>
            <w:vAlign w:val="bottom"/>
            <w:gridSpan w:val="5"/>
          </w:tcPr>
          <w:p>
            <w:pPr>
              <w:ind w:left="820"/>
              <w:spacing w:after="0"/>
              <w:rPr>
                <w:sz w:val="20"/>
                <w:szCs w:val="20"/>
                <w:color w:val="auto"/>
              </w:rPr>
            </w:pPr>
            <w:r>
              <w:rPr>
                <w:rFonts w:ascii="Arial" w:cs="Arial" w:eastAsia="Arial" w:hAnsi="Arial"/>
                <w:sz w:val="18"/>
                <w:szCs w:val="18"/>
                <w:color w:val="auto"/>
              </w:rPr>
              <w:t>August 31, 2023</w:t>
            </w:r>
          </w:p>
        </w:tc>
        <w:tc>
          <w:tcPr>
            <w:tcW w:w="160" w:type="dxa"/>
            <w:vAlign w:val="bottom"/>
          </w:tcPr>
          <w:p>
            <w:pPr>
              <w:spacing w:after="0"/>
              <w:rPr>
                <w:sz w:val="20"/>
                <w:szCs w:val="20"/>
                <w:color w:val="auto"/>
              </w:rPr>
            </w:pPr>
          </w:p>
        </w:tc>
        <w:tc>
          <w:tcPr>
            <w:tcW w:w="2980" w:type="dxa"/>
            <w:vAlign w:val="bottom"/>
            <w:gridSpan w:val="4"/>
          </w:tcPr>
          <w:p>
            <w:pPr>
              <w:jc w:val="right"/>
              <w:ind w:right="750"/>
              <w:spacing w:after="0"/>
              <w:rPr>
                <w:sz w:val="20"/>
                <w:szCs w:val="20"/>
                <w:color w:val="auto"/>
              </w:rPr>
            </w:pPr>
            <w:r>
              <w:rPr>
                <w:rFonts w:ascii="Arial" w:cs="Arial" w:eastAsia="Arial" w:hAnsi="Arial"/>
                <w:sz w:val="18"/>
                <w:szCs w:val="18"/>
                <w:color w:val="auto"/>
              </w:rPr>
              <w:t>November 30, 2022</w:t>
            </w:r>
          </w:p>
        </w:tc>
      </w:tr>
      <w:tr>
        <w:trPr>
          <w:trHeight w:val="223"/>
        </w:trPr>
        <w:tc>
          <w:tcPr>
            <w:tcW w:w="48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color w:val="auto"/>
              </w:rPr>
              <w:t>Notional Value</w:t>
            </w:r>
          </w:p>
        </w:tc>
        <w:tc>
          <w:tcPr>
            <w:tcW w:w="26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Fair Value</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color w:val="auto"/>
              </w:rPr>
              <w:t>Notional Value</w:t>
            </w:r>
          </w:p>
        </w:tc>
        <w:tc>
          <w:tcPr>
            <w:tcW w:w="26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Fair Value</w:t>
            </w:r>
          </w:p>
        </w:tc>
      </w:tr>
      <w:tr>
        <w:trPr>
          <w:trHeight w:val="223"/>
        </w:trPr>
        <w:tc>
          <w:tcPr>
            <w:tcW w:w="4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Forward contracts to sell U.S. dollars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87,349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74,578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(2,995)</w:t>
            </w:r>
          </w:p>
        </w:tc>
      </w:tr>
      <w:tr>
        <w:trPr>
          <w:trHeight w:val="229"/>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Forward contracts to purchase U.S. dollars</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48"/>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Fair Value Measurements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Measured at Fair Value on a Recurring Basis</w:t>
      </w:r>
    </w:p>
    <w:p>
      <w:pPr>
        <w:spacing w:after="0" w:line="256"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The following table details the fair value measurements within the fair value hierarchy of our financial assets and liabilities at August 31, 2023 (in thousands):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6"/>
          </w:tcPr>
          <w:p>
            <w:pPr>
              <w:jc w:val="center"/>
              <w:ind w:left="670"/>
              <w:spacing w:after="0"/>
              <w:rPr>
                <w:sz w:val="20"/>
                <w:szCs w:val="20"/>
                <w:color w:val="auto"/>
              </w:rPr>
            </w:pPr>
            <w:r>
              <w:rPr>
                <w:rFonts w:ascii="Arial" w:cs="Arial" w:eastAsia="Arial" w:hAnsi="Arial"/>
                <w:sz w:val="18"/>
                <w:szCs w:val="18"/>
                <w:color w:val="auto"/>
                <w:w w:val="89"/>
              </w:rPr>
              <w:t>Fair Value Measurements Using</w:t>
            </w:r>
          </w:p>
        </w:tc>
        <w:tc>
          <w:tcPr>
            <w:tcW w:w="1040" w:type="dxa"/>
            <w:vAlign w:val="bottom"/>
            <w:tcBorders>
              <w:bottom w:val="single" w:sz="8" w:color="auto"/>
            </w:tcBorders>
          </w:tcPr>
          <w:p>
            <w:pPr>
              <w:spacing w:after="0"/>
              <w:rPr>
                <w:sz w:val="20"/>
                <w:szCs w:val="20"/>
                <w:color w:val="auto"/>
              </w:rPr>
            </w:pPr>
          </w:p>
        </w:tc>
      </w:tr>
      <w:tr>
        <w:trPr>
          <w:trHeight w:val="223"/>
        </w:trPr>
        <w:tc>
          <w:tcPr>
            <w:tcW w:w="5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color w:val="auto"/>
              </w:rPr>
              <w:t>Total Fair Value</w:t>
            </w:r>
          </w:p>
        </w:tc>
        <w:tc>
          <w:tcPr>
            <w:tcW w:w="280" w:type="dxa"/>
            <w:vAlign w:val="bottom"/>
          </w:tcPr>
          <w:p>
            <w:pPr>
              <w:spacing w:after="0"/>
              <w:rPr>
                <w:sz w:val="19"/>
                <w:szCs w:val="19"/>
                <w:color w:val="auto"/>
              </w:rPr>
            </w:pPr>
          </w:p>
        </w:tc>
        <w:tc>
          <w:tcPr>
            <w:tcW w:w="1240" w:type="dxa"/>
            <w:vAlign w:val="bottom"/>
            <w:gridSpan w:val="2"/>
          </w:tcPr>
          <w:p>
            <w:pPr>
              <w:ind w:left="160"/>
              <w:spacing w:after="0"/>
              <w:rPr>
                <w:sz w:val="20"/>
                <w:szCs w:val="20"/>
                <w:color w:val="auto"/>
              </w:rPr>
            </w:pPr>
            <w:r>
              <w:rPr>
                <w:rFonts w:ascii="Arial" w:cs="Arial" w:eastAsia="Arial" w:hAnsi="Arial"/>
                <w:sz w:val="18"/>
                <w:szCs w:val="18"/>
                <w:color w:val="auto"/>
              </w:rPr>
              <w:t>Level 1</w:t>
            </w:r>
          </w:p>
        </w:tc>
        <w:tc>
          <w:tcPr>
            <w:tcW w:w="280" w:type="dxa"/>
            <w:vAlign w:val="bottom"/>
          </w:tcPr>
          <w:p>
            <w:pPr>
              <w:spacing w:after="0"/>
              <w:rPr>
                <w:sz w:val="19"/>
                <w:szCs w:val="19"/>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Level 2</w:t>
            </w:r>
          </w:p>
        </w:tc>
        <w:tc>
          <w:tcPr>
            <w:tcW w:w="400" w:type="dxa"/>
            <w:vAlign w:val="bottom"/>
          </w:tcPr>
          <w:p>
            <w:pPr>
              <w:spacing w:after="0"/>
              <w:rPr>
                <w:sz w:val="19"/>
                <w:szCs w:val="19"/>
                <w:color w:val="auto"/>
              </w:rPr>
            </w:pPr>
          </w:p>
        </w:tc>
        <w:tc>
          <w:tcPr>
            <w:tcW w:w="1040" w:type="dxa"/>
            <w:vAlign w:val="bottom"/>
          </w:tcPr>
          <w:p>
            <w:pPr>
              <w:ind w:left="60"/>
              <w:spacing w:after="0"/>
              <w:rPr>
                <w:sz w:val="20"/>
                <w:szCs w:val="20"/>
                <w:color w:val="auto"/>
              </w:rPr>
            </w:pPr>
            <w:r>
              <w:rPr>
                <w:rFonts w:ascii="Arial" w:cs="Arial" w:eastAsia="Arial" w:hAnsi="Arial"/>
                <w:sz w:val="18"/>
                <w:szCs w:val="18"/>
                <w:color w:val="auto"/>
              </w:rPr>
              <w:t>Level 3</w:t>
            </w:r>
          </w:p>
        </w:tc>
      </w:tr>
      <w:tr>
        <w:trPr>
          <w:trHeight w:val="210"/>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Assets</w:t>
            </w:r>
          </w:p>
        </w:tc>
        <w:tc>
          <w:tcPr>
            <w:tcW w:w="12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Money market funds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Pr>
          <w:p>
            <w:pPr>
              <w:ind w:left="780"/>
              <w:spacing w:after="0"/>
              <w:rPr>
                <w:sz w:val="20"/>
                <w:szCs w:val="20"/>
                <w:color w:val="auto"/>
              </w:rPr>
            </w:pPr>
            <w:r>
              <w:rPr>
                <w:rFonts w:ascii="Arial" w:cs="Arial" w:eastAsia="Arial" w:hAnsi="Arial"/>
                <w:sz w:val="18"/>
                <w:szCs w:val="18"/>
                <w:color w:val="auto"/>
              </w:rPr>
              <w:t>—</w:t>
            </w: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i w:val="1"/>
                <w:iCs w:val="1"/>
                <w:color w:val="auto"/>
              </w:rPr>
              <w:t>Liabilities</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 derivatives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2" w:name="page13"/>
    <w:bookmarkEnd w:id="12"/>
    <w:p>
      <w:pPr>
        <w:ind w:right="460"/>
        <w:spacing w:after="0" w:line="277" w:lineRule="auto"/>
        <w:rPr>
          <w:sz w:val="20"/>
          <w:szCs w:val="20"/>
          <w:color w:val="auto"/>
        </w:rPr>
      </w:pPr>
      <w:r>
        <w:rPr>
          <w:rFonts w:ascii="Arial" w:cs="Arial" w:eastAsia="Arial" w:hAnsi="Arial"/>
          <w:sz w:val="18"/>
          <w:szCs w:val="18"/>
          <w:color w:val="auto"/>
        </w:rPr>
        <w:t>The following table details the fair value measurements within the fair value hierarchy of our financial assets and liabilities at November 30, 2022 (in thousands):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6"/>
          </w:tcPr>
          <w:p>
            <w:pPr>
              <w:jc w:val="center"/>
              <w:ind w:left="670"/>
              <w:spacing w:after="0"/>
              <w:rPr>
                <w:sz w:val="20"/>
                <w:szCs w:val="20"/>
                <w:color w:val="auto"/>
              </w:rPr>
            </w:pPr>
            <w:r>
              <w:rPr>
                <w:rFonts w:ascii="Arial" w:cs="Arial" w:eastAsia="Arial" w:hAnsi="Arial"/>
                <w:sz w:val="18"/>
                <w:szCs w:val="18"/>
                <w:color w:val="auto"/>
                <w:w w:val="90"/>
              </w:rPr>
              <w:t>Fair Value Measurements Using</w:t>
            </w:r>
          </w:p>
        </w:tc>
        <w:tc>
          <w:tcPr>
            <w:tcW w:w="1040" w:type="dxa"/>
            <w:vAlign w:val="bottom"/>
            <w:tcBorders>
              <w:bottom w:val="single" w:sz="8" w:color="auto"/>
            </w:tcBorders>
          </w:tcPr>
          <w:p>
            <w:pPr>
              <w:spacing w:after="0"/>
              <w:rPr>
                <w:sz w:val="20"/>
                <w:szCs w:val="20"/>
                <w:color w:val="auto"/>
              </w:rPr>
            </w:pPr>
          </w:p>
        </w:tc>
      </w:tr>
      <w:tr>
        <w:trPr>
          <w:trHeight w:val="223"/>
        </w:trPr>
        <w:tc>
          <w:tcPr>
            <w:tcW w:w="5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auto"/>
              </w:rPr>
              <w:t>Total Fair Value</w:t>
            </w:r>
          </w:p>
        </w:tc>
        <w:tc>
          <w:tcPr>
            <w:tcW w:w="260" w:type="dxa"/>
            <w:vAlign w:val="bottom"/>
          </w:tcPr>
          <w:p>
            <w:pPr>
              <w:spacing w:after="0"/>
              <w:rPr>
                <w:sz w:val="19"/>
                <w:szCs w:val="19"/>
                <w:color w:val="auto"/>
              </w:rPr>
            </w:pPr>
          </w:p>
        </w:tc>
        <w:tc>
          <w:tcPr>
            <w:tcW w:w="1260" w:type="dxa"/>
            <w:vAlign w:val="bottom"/>
            <w:gridSpan w:val="2"/>
          </w:tcPr>
          <w:p>
            <w:pPr>
              <w:ind w:left="180"/>
              <w:spacing w:after="0"/>
              <w:rPr>
                <w:sz w:val="20"/>
                <w:szCs w:val="20"/>
                <w:color w:val="auto"/>
              </w:rPr>
            </w:pPr>
            <w:r>
              <w:rPr>
                <w:rFonts w:ascii="Arial" w:cs="Arial" w:eastAsia="Arial" w:hAnsi="Arial"/>
                <w:sz w:val="18"/>
                <w:szCs w:val="18"/>
                <w:color w:val="auto"/>
              </w:rPr>
              <w:t>Level 1</w:t>
            </w:r>
          </w:p>
        </w:tc>
        <w:tc>
          <w:tcPr>
            <w:tcW w:w="280" w:type="dxa"/>
            <w:vAlign w:val="bottom"/>
          </w:tcPr>
          <w:p>
            <w:pPr>
              <w:spacing w:after="0"/>
              <w:rPr>
                <w:sz w:val="19"/>
                <w:szCs w:val="19"/>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Level 2</w:t>
            </w:r>
          </w:p>
        </w:tc>
        <w:tc>
          <w:tcPr>
            <w:tcW w:w="400" w:type="dxa"/>
            <w:vAlign w:val="bottom"/>
          </w:tcPr>
          <w:p>
            <w:pPr>
              <w:spacing w:after="0"/>
              <w:rPr>
                <w:sz w:val="19"/>
                <w:szCs w:val="19"/>
                <w:color w:val="auto"/>
              </w:rPr>
            </w:pPr>
          </w:p>
        </w:tc>
        <w:tc>
          <w:tcPr>
            <w:tcW w:w="1040" w:type="dxa"/>
            <w:vAlign w:val="bottom"/>
          </w:tcPr>
          <w:p>
            <w:pPr>
              <w:ind w:left="60"/>
              <w:spacing w:after="0"/>
              <w:rPr>
                <w:sz w:val="20"/>
                <w:szCs w:val="20"/>
                <w:color w:val="auto"/>
              </w:rPr>
            </w:pPr>
            <w:r>
              <w:rPr>
                <w:rFonts w:ascii="Arial" w:cs="Arial" w:eastAsia="Arial" w:hAnsi="Arial"/>
                <w:sz w:val="18"/>
                <w:szCs w:val="18"/>
                <w:color w:val="auto"/>
              </w:rPr>
              <w:t>Level 3</w:t>
            </w:r>
          </w:p>
        </w:tc>
      </w:tr>
      <w:tr>
        <w:trPr>
          <w:trHeight w:val="209"/>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Assets</w:t>
            </w: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Money market funds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27,254</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27,254</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Pr>
          <w:p>
            <w:pPr>
              <w:ind w:left="780"/>
              <w:spacing w:after="0"/>
              <w:rPr>
                <w:sz w:val="20"/>
                <w:szCs w:val="20"/>
                <w:color w:val="auto"/>
              </w:rPr>
            </w:pPr>
            <w:r>
              <w:rPr>
                <w:rFonts w:ascii="Arial" w:cs="Arial" w:eastAsia="Arial" w:hAnsi="Arial"/>
                <w:sz w:val="18"/>
                <w:szCs w:val="18"/>
                <w:color w:val="auto"/>
              </w:rPr>
              <w:t>—</w:t>
            </w: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i w:val="1"/>
                <w:iCs w:val="1"/>
                <w:color w:val="auto"/>
              </w:rPr>
              <w:t>Liabilities</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 derivatives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r>
    </w:tbl>
    <w:p>
      <w:pPr>
        <w:spacing w:after="0" w:line="310" w:lineRule="exact"/>
        <w:rPr>
          <w:sz w:val="20"/>
          <w:szCs w:val="20"/>
          <w:color w:val="auto"/>
        </w:rPr>
      </w:pPr>
    </w:p>
    <w:p>
      <w:pPr>
        <w:jc w:val="both"/>
        <w:ind w:right="200"/>
        <w:spacing w:after="0" w:line="257" w:lineRule="auto"/>
        <w:rPr>
          <w:sz w:val="20"/>
          <w:szCs w:val="20"/>
          <w:color w:val="auto"/>
        </w:rPr>
      </w:pPr>
      <w:r>
        <w:rPr>
          <w:rFonts w:ascii="Arial" w:cs="Arial" w:eastAsia="Arial" w:hAnsi="Arial"/>
          <w:sz w:val="18"/>
          <w:szCs w:val="18"/>
          <w:color w:val="auto"/>
        </w:rPr>
        <w:t>When developing fair value estimates, we maximize the use of observable inputs and minimize the use of unobservable inputs. When available, we use quoted market prices to measure fair value. The valuation technique used to measure fair value for our Level 1 and Level 2 assets is a market approach, using prices and other relevant information generated by market transactions involving identical or comparable assets. If market prices are not available, the fair value measurement is based on models that use primarily market-based parameters including yield curves, volatilities, credit ratings and currency rates.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Not Carried at Fair Value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the Convertible Senior Notes</w:t>
      </w:r>
    </w:p>
    <w:p>
      <w:pPr>
        <w:spacing w:after="0" w:line="252"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fair value of our Convertible Senior Notes, with a carrying value of $354.2 million and $352.6 million, was $411.8 million and $376.0 million as of August 31, 2023 and November 30, 2022, respectively. The fair value was determined based on the quoted price in an over-the-counter market on the last trading day of the reporting period and classified within Level 1 in the fair value hierarchy.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Other Long-term Debt</w:t>
      </w:r>
    </w:p>
    <w:p>
      <w:pPr>
        <w:spacing w:after="0" w:line="25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fair value of the borrowing outstanding detail in Note 7 approximates the carrying value of the debt due to variable rates that are applicable and no significant change in our credit ratings.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Other Financial Assets and Liabilities</w:t>
      </w:r>
    </w:p>
    <w:p>
      <w:pPr>
        <w:spacing w:after="0" w:line="239" w:lineRule="exact"/>
        <w:rPr>
          <w:sz w:val="20"/>
          <w:szCs w:val="20"/>
          <w:color w:val="auto"/>
        </w:rPr>
      </w:pPr>
    </w:p>
    <w:p>
      <w:pPr>
        <w:ind w:right="480"/>
        <w:spacing w:after="0" w:line="248" w:lineRule="auto"/>
        <w:rPr>
          <w:sz w:val="20"/>
          <w:szCs w:val="20"/>
          <w:color w:val="auto"/>
        </w:rPr>
      </w:pPr>
      <w:r>
        <w:rPr>
          <w:rFonts w:ascii="Arial" w:cs="Arial" w:eastAsia="Arial" w:hAnsi="Arial"/>
          <w:sz w:val="18"/>
          <w:szCs w:val="18"/>
          <w:color w:val="auto"/>
        </w:rPr>
        <w:t>The carrying amounts of other financial assets and liabilities including cash, accounts receivable, unbilled accounts receivable, accounts payable, and accrued liabilities approximate their respective fair values because of the relatively short period of time between their origination and their expected realization or settlement.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Intangible Assets and Goodwill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are comprised of the following significant classes (in thousands):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8"/>
                <w:szCs w:val="18"/>
                <w:color w:val="auto"/>
                <w:w w:val="89"/>
              </w:rPr>
              <w:t>August 31, 2023</w:t>
            </w:r>
          </w:p>
        </w:tc>
        <w:tc>
          <w:tcPr>
            <w:tcW w:w="3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91"/>
              </w:rPr>
              <w:t>November 30, 2022</w:t>
            </w:r>
          </w:p>
        </w:tc>
        <w:tc>
          <w:tcPr>
            <w:tcW w:w="3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r>
      <w:tr>
        <w:trPr>
          <w:trHeight w:val="169"/>
        </w:trPr>
        <w:tc>
          <w:tcPr>
            <w:tcW w:w="2760" w:type="dxa"/>
            <w:vAlign w:val="bottom"/>
          </w:tcPr>
          <w:p>
            <w:pPr>
              <w:spacing w:after="0"/>
              <w:rPr>
                <w:sz w:val="14"/>
                <w:szCs w:val="14"/>
                <w:color w:val="auto"/>
              </w:rPr>
            </w:pPr>
          </w:p>
        </w:tc>
        <w:tc>
          <w:tcPr>
            <w:tcW w:w="1420" w:type="dxa"/>
            <w:vAlign w:val="bottom"/>
            <w:gridSpan w:val="3"/>
          </w:tcPr>
          <w:p>
            <w:pPr>
              <w:jc w:val="center"/>
              <w:ind w:right="120"/>
              <w:spacing w:after="0" w:line="169" w:lineRule="exact"/>
              <w:rPr>
                <w:sz w:val="20"/>
                <w:szCs w:val="20"/>
                <w:color w:val="auto"/>
              </w:rPr>
            </w:pPr>
            <w:r>
              <w:rPr>
                <w:rFonts w:ascii="Arial" w:cs="Arial" w:eastAsia="Arial" w:hAnsi="Arial"/>
                <w:sz w:val="18"/>
                <w:szCs w:val="18"/>
                <w:color w:val="auto"/>
                <w:w w:val="90"/>
              </w:rPr>
              <w:t>Gross Carrying</w:t>
            </w:r>
          </w:p>
        </w:tc>
        <w:tc>
          <w:tcPr>
            <w:tcW w:w="140" w:type="dxa"/>
            <w:vAlign w:val="bottom"/>
          </w:tcPr>
          <w:p>
            <w:pPr>
              <w:spacing w:after="0"/>
              <w:rPr>
                <w:sz w:val="14"/>
                <w:szCs w:val="14"/>
                <w:color w:val="auto"/>
              </w:rPr>
            </w:pPr>
          </w:p>
        </w:tc>
        <w:tc>
          <w:tcPr>
            <w:tcW w:w="1300" w:type="dxa"/>
            <w:vAlign w:val="bottom"/>
            <w:gridSpan w:val="2"/>
          </w:tcPr>
          <w:p>
            <w:pPr>
              <w:jc w:val="center"/>
              <w:ind w:right="260"/>
              <w:spacing w:after="0" w:line="169" w:lineRule="exact"/>
              <w:rPr>
                <w:sz w:val="20"/>
                <w:szCs w:val="20"/>
                <w:color w:val="auto"/>
              </w:rPr>
            </w:pPr>
            <w:r>
              <w:rPr>
                <w:rFonts w:ascii="Arial" w:cs="Arial" w:eastAsia="Arial" w:hAnsi="Arial"/>
                <w:sz w:val="18"/>
                <w:szCs w:val="18"/>
                <w:color w:val="auto"/>
                <w:w w:val="92"/>
              </w:rPr>
              <w:t>Accumulated</w:t>
            </w: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right"/>
              <w:ind w:right="10"/>
              <w:spacing w:after="0" w:line="169" w:lineRule="exact"/>
              <w:rPr>
                <w:sz w:val="20"/>
                <w:szCs w:val="20"/>
                <w:color w:val="auto"/>
              </w:rPr>
            </w:pPr>
            <w:r>
              <w:rPr>
                <w:rFonts w:ascii="Arial" w:cs="Arial" w:eastAsia="Arial" w:hAnsi="Arial"/>
                <w:sz w:val="18"/>
                <w:szCs w:val="18"/>
                <w:color w:val="auto"/>
                <w:w w:val="89"/>
              </w:rPr>
              <w:t>Gross Carrying</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60"/>
              <w:spacing w:after="0" w:line="169" w:lineRule="exact"/>
              <w:rPr>
                <w:sz w:val="20"/>
                <w:szCs w:val="20"/>
                <w:color w:val="auto"/>
              </w:rPr>
            </w:pPr>
            <w:r>
              <w:rPr>
                <w:rFonts w:ascii="Arial" w:cs="Arial" w:eastAsia="Arial" w:hAnsi="Arial"/>
                <w:sz w:val="18"/>
                <w:szCs w:val="18"/>
                <w:color w:val="auto"/>
                <w:w w:val="92"/>
              </w:rPr>
              <w:t>Accumulated</w:t>
            </w: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43"/>
        </w:trPr>
        <w:tc>
          <w:tcPr>
            <w:tcW w:w="2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color w:val="auto"/>
                <w:w w:val="96"/>
              </w:rPr>
              <w:t>Amount</w:t>
            </w:r>
          </w:p>
        </w:tc>
        <w:tc>
          <w:tcPr>
            <w:tcW w:w="140" w:type="dxa"/>
            <w:vAlign w:val="bottom"/>
          </w:tcPr>
          <w:p>
            <w:pPr>
              <w:spacing w:after="0"/>
              <w:rPr>
                <w:sz w:val="21"/>
                <w:szCs w:val="21"/>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Amortization</w:t>
            </w:r>
          </w:p>
        </w:tc>
        <w:tc>
          <w:tcPr>
            <w:tcW w:w="1420" w:type="dxa"/>
            <w:vAlign w:val="bottom"/>
            <w:gridSpan w:val="3"/>
          </w:tcPr>
          <w:p>
            <w:pPr>
              <w:ind w:left="80"/>
              <w:spacing w:after="0"/>
              <w:rPr>
                <w:sz w:val="20"/>
                <w:szCs w:val="20"/>
                <w:color w:val="auto"/>
              </w:rPr>
            </w:pPr>
            <w:r>
              <w:rPr>
                <w:rFonts w:ascii="Arial" w:cs="Arial" w:eastAsia="Arial" w:hAnsi="Arial"/>
                <w:sz w:val="18"/>
                <w:szCs w:val="18"/>
                <w:color w:val="auto"/>
              </w:rPr>
              <w:t>Net Book Value</w:t>
            </w:r>
          </w:p>
        </w:tc>
        <w:tc>
          <w:tcPr>
            <w:tcW w:w="120" w:type="dxa"/>
            <w:vAlign w:val="bottom"/>
          </w:tcPr>
          <w:p>
            <w:pPr>
              <w:spacing w:after="0"/>
              <w:rPr>
                <w:sz w:val="21"/>
                <w:szCs w:val="21"/>
                <w:color w:val="auto"/>
              </w:rPr>
            </w:pPr>
          </w:p>
        </w:tc>
        <w:tc>
          <w:tcPr>
            <w:tcW w:w="1200" w:type="dxa"/>
            <w:vAlign w:val="bottom"/>
          </w:tcPr>
          <w:p>
            <w:pPr>
              <w:jc w:val="right"/>
              <w:ind w:right="270"/>
              <w:spacing w:after="0"/>
              <w:rPr>
                <w:sz w:val="20"/>
                <w:szCs w:val="20"/>
                <w:color w:val="auto"/>
              </w:rPr>
            </w:pPr>
            <w:r>
              <w:rPr>
                <w:rFonts w:ascii="Arial" w:cs="Arial" w:eastAsia="Arial" w:hAnsi="Arial"/>
                <w:sz w:val="18"/>
                <w:szCs w:val="18"/>
                <w:color w:val="auto"/>
              </w:rPr>
              <w:t>Amount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Amortization</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w w:val="97"/>
              </w:rPr>
              <w:t>Net Book Value</w:t>
            </w:r>
          </w:p>
        </w:tc>
      </w:tr>
      <w:tr>
        <w:trPr>
          <w:trHeight w:val="223"/>
        </w:trPr>
        <w:tc>
          <w:tcPr>
            <w:tcW w:w="2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Purchased technology</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280,000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(173,129)</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106,871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212,700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(150,877)</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61,823</w:t>
            </w:r>
          </w:p>
        </w:tc>
      </w:tr>
      <w:tr>
        <w:trPr>
          <w:trHeight w:val="230"/>
        </w:trPr>
        <w:tc>
          <w:tcPr>
            <w:tcW w:w="2760" w:type="dxa"/>
            <w:vAlign w:val="bottom"/>
          </w:tcPr>
          <w:p>
            <w:pPr>
              <w:ind w:left="20"/>
              <w:spacing w:after="0"/>
              <w:rPr>
                <w:sz w:val="20"/>
                <w:szCs w:val="20"/>
                <w:color w:val="auto"/>
              </w:rPr>
            </w:pPr>
            <w:r>
              <w:rPr>
                <w:rFonts w:ascii="Arial" w:cs="Arial" w:eastAsia="Arial" w:hAnsi="Arial"/>
                <w:sz w:val="18"/>
                <w:szCs w:val="18"/>
                <w:color w:val="auto"/>
              </w:rPr>
              <w:t>Customer-related</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457,608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(205,298)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252,310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306,308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(162,341)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143,967</w:t>
            </w:r>
          </w:p>
        </w:tc>
      </w:tr>
      <w:tr>
        <w:trPr>
          <w:trHeight w:val="230"/>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 and trade names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(30,468)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19,643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37,611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(26,046)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11,565</w:t>
            </w:r>
          </w:p>
        </w:tc>
      </w:tr>
      <w:tr>
        <w:trPr>
          <w:trHeight w:val="229"/>
        </w:trPr>
        <w:tc>
          <w:tcPr>
            <w:tcW w:w="2760" w:type="dxa"/>
            <w:vAlign w:val="bottom"/>
          </w:tcPr>
          <w:p>
            <w:pPr>
              <w:ind w:left="20"/>
              <w:spacing w:after="0"/>
              <w:rPr>
                <w:sz w:val="20"/>
                <w:szCs w:val="20"/>
                <w:color w:val="auto"/>
              </w:rPr>
            </w:pPr>
            <w:r>
              <w:rPr>
                <w:rFonts w:ascii="Arial" w:cs="Arial" w:eastAsia="Arial" w:hAnsi="Arial"/>
                <w:sz w:val="18"/>
                <w:szCs w:val="18"/>
                <w:color w:val="auto"/>
              </w:rPr>
              <w:t>Non-compete agreement</w:t>
            </w:r>
          </w:p>
        </w:tc>
        <w:tc>
          <w:tcPr>
            <w:tcW w:w="2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2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787,719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(408,895)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378,824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558,619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(341,264)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217,355</w:t>
            </w: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13" w:name="page14"/>
    <w:bookmarkEnd w:id="13"/>
    <w:p>
      <w:pPr>
        <w:ind w:right="40"/>
        <w:spacing w:after="0" w:line="342" w:lineRule="auto"/>
        <w:rPr>
          <w:sz w:val="20"/>
          <w:szCs w:val="20"/>
          <w:color w:val="auto"/>
        </w:rPr>
      </w:pPr>
      <w:r>
        <w:rPr>
          <w:rFonts w:ascii="Arial" w:cs="Arial" w:eastAsia="Arial" w:hAnsi="Arial"/>
          <w:sz w:val="16"/>
          <w:szCs w:val="16"/>
          <w:color w:val="auto"/>
        </w:rPr>
        <w:t>In the three and nine months ended August 31, 2023, amortization expense related to intangible assets was $25.7 million and $71.1 million, respectively. In the three and nine months ended August 31, 2022, amortization expense related to intangible assets was $17.3 million and $51.9 million, respectively.</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00" w:type="dxa"/>
            <w:vAlign w:val="bottom"/>
          </w:tcPr>
          <w:p>
            <w:pPr>
              <w:spacing w:after="0"/>
              <w:rPr>
                <w:sz w:val="20"/>
                <w:szCs w:val="20"/>
                <w:color w:val="auto"/>
              </w:rPr>
            </w:pPr>
            <w:r>
              <w:rPr>
                <w:rFonts w:ascii="Arial" w:cs="Arial" w:eastAsia="Arial" w:hAnsi="Arial"/>
                <w:sz w:val="18"/>
                <w:szCs w:val="18"/>
                <w:color w:val="auto"/>
              </w:rPr>
              <w:t>Future amortization expense for intangible assets as of August 31, 2023, is as follows (in thousands):</w:t>
            </w:r>
          </w:p>
        </w:tc>
        <w:tc>
          <w:tcPr>
            <w:tcW w:w="5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9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2023</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25,391</w:t>
            </w:r>
          </w:p>
        </w:tc>
        <w:tc>
          <w:tcPr>
            <w:tcW w:w="0" w:type="dxa"/>
            <w:vAlign w:val="bottom"/>
          </w:tcPr>
          <w:p>
            <w:pPr>
              <w:spacing w:after="0"/>
              <w:rPr>
                <w:sz w:val="1"/>
                <w:szCs w:val="1"/>
                <w:color w:val="auto"/>
              </w:rPr>
            </w:pPr>
          </w:p>
        </w:tc>
      </w:tr>
      <w:tr>
        <w:trPr>
          <w:trHeight w:val="229"/>
        </w:trPr>
        <w:tc>
          <w:tcPr>
            <w:tcW w:w="9600" w:type="dxa"/>
            <w:vAlign w:val="bottom"/>
          </w:tcPr>
          <w:p>
            <w:pPr>
              <w:ind w:left="20"/>
              <w:spacing w:after="0"/>
              <w:rPr>
                <w:sz w:val="20"/>
                <w:szCs w:val="20"/>
                <w:color w:val="auto"/>
              </w:rPr>
            </w:pPr>
            <w:r>
              <w:rPr>
                <w:rFonts w:ascii="Arial" w:cs="Arial" w:eastAsia="Arial" w:hAnsi="Arial"/>
                <w:sz w:val="18"/>
                <w:szCs w:val="18"/>
                <w:color w:val="auto"/>
              </w:rPr>
              <w:t>2024</w:t>
            </w: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88,934</w:t>
            </w:r>
          </w:p>
        </w:tc>
        <w:tc>
          <w:tcPr>
            <w:tcW w:w="0" w:type="dxa"/>
            <w:vAlign w:val="bottom"/>
          </w:tcPr>
          <w:p>
            <w:pPr>
              <w:spacing w:after="0"/>
              <w:rPr>
                <w:sz w:val="1"/>
                <w:szCs w:val="1"/>
                <w:color w:val="auto"/>
              </w:rPr>
            </w:pPr>
          </w:p>
        </w:tc>
      </w:tr>
      <w:tr>
        <w:trPr>
          <w:trHeight w:val="230"/>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78,424</w:t>
            </w:r>
          </w:p>
        </w:tc>
        <w:tc>
          <w:tcPr>
            <w:tcW w:w="0" w:type="dxa"/>
            <w:vAlign w:val="bottom"/>
          </w:tcPr>
          <w:p>
            <w:pPr>
              <w:spacing w:after="0"/>
              <w:rPr>
                <w:sz w:val="1"/>
                <w:szCs w:val="1"/>
                <w:color w:val="auto"/>
              </w:rPr>
            </w:pPr>
          </w:p>
        </w:tc>
      </w:tr>
      <w:tr>
        <w:trPr>
          <w:trHeight w:val="229"/>
        </w:trPr>
        <w:tc>
          <w:tcPr>
            <w:tcW w:w="9600" w:type="dxa"/>
            <w:vAlign w:val="bottom"/>
          </w:tcPr>
          <w:p>
            <w:pPr>
              <w:ind w:left="20"/>
              <w:spacing w:after="0"/>
              <w:rPr>
                <w:sz w:val="20"/>
                <w:szCs w:val="20"/>
                <w:color w:val="auto"/>
              </w:rPr>
            </w:pPr>
            <w:r>
              <w:rPr>
                <w:rFonts w:ascii="Arial" w:cs="Arial" w:eastAsia="Arial" w:hAnsi="Arial"/>
                <w:sz w:val="18"/>
                <w:szCs w:val="18"/>
                <w:color w:val="auto"/>
              </w:rPr>
              <w:t>2026</w:t>
            </w: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69,368</w:t>
            </w:r>
          </w:p>
        </w:tc>
        <w:tc>
          <w:tcPr>
            <w:tcW w:w="0" w:type="dxa"/>
            <w:vAlign w:val="bottom"/>
          </w:tcPr>
          <w:p>
            <w:pPr>
              <w:spacing w:after="0"/>
              <w:rPr>
                <w:sz w:val="1"/>
                <w:szCs w:val="1"/>
                <w:color w:val="auto"/>
              </w:rPr>
            </w:pPr>
          </w:p>
        </w:tc>
      </w:tr>
      <w:tr>
        <w:trPr>
          <w:trHeight w:val="229"/>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44,598</w:t>
            </w:r>
          </w:p>
        </w:tc>
        <w:tc>
          <w:tcPr>
            <w:tcW w:w="0" w:type="dxa"/>
            <w:vAlign w:val="bottom"/>
          </w:tcPr>
          <w:p>
            <w:pPr>
              <w:spacing w:after="0"/>
              <w:rPr>
                <w:sz w:val="1"/>
                <w:szCs w:val="1"/>
                <w:color w:val="auto"/>
              </w:rPr>
            </w:pPr>
          </w:p>
        </w:tc>
      </w:tr>
      <w:tr>
        <w:trPr>
          <w:trHeight w:val="230"/>
        </w:trPr>
        <w:tc>
          <w:tcPr>
            <w:tcW w:w="9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72,109</w:t>
            </w:r>
          </w:p>
        </w:tc>
        <w:tc>
          <w:tcPr>
            <w:tcW w:w="0" w:type="dxa"/>
            <w:vAlign w:val="bottom"/>
          </w:tcPr>
          <w:p>
            <w:pPr>
              <w:spacing w:after="0"/>
              <w:rPr>
                <w:sz w:val="1"/>
                <w:szCs w:val="1"/>
                <w:color w:val="auto"/>
              </w:rPr>
            </w:pPr>
          </w:p>
        </w:tc>
      </w:tr>
      <w:tr>
        <w:trPr>
          <w:trHeight w:val="248"/>
        </w:trPr>
        <w:tc>
          <w:tcPr>
            <w:tcW w:w="9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378,824</w:t>
            </w:r>
          </w:p>
        </w:tc>
        <w:tc>
          <w:tcPr>
            <w:tcW w:w="0" w:type="dxa"/>
            <w:vAlign w:val="bottom"/>
          </w:tcPr>
          <w:p>
            <w:pPr>
              <w:spacing w:after="0"/>
              <w:rPr>
                <w:sz w:val="1"/>
                <w:szCs w:val="1"/>
                <w:color w:val="auto"/>
              </w:rPr>
            </w:pPr>
          </w:p>
        </w:tc>
      </w:tr>
      <w:tr>
        <w:trPr>
          <w:trHeight w:val="20"/>
        </w:trPr>
        <w:tc>
          <w:tcPr>
            <w:tcW w:w="96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Goodwill</w:t>
            </w: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960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9600" w:type="dxa"/>
            <w:vAlign w:val="bottom"/>
          </w:tcPr>
          <w:p>
            <w:pPr>
              <w:spacing w:after="0"/>
              <w:rPr>
                <w:sz w:val="20"/>
                <w:szCs w:val="20"/>
                <w:color w:val="auto"/>
              </w:rPr>
            </w:pPr>
            <w:r>
              <w:rPr>
                <w:rFonts w:ascii="Arial" w:cs="Arial" w:eastAsia="Arial" w:hAnsi="Arial"/>
                <w:sz w:val="18"/>
                <w:szCs w:val="18"/>
                <w:color w:val="auto"/>
              </w:rPr>
              <w:t>Changes in the carrying amount of goodwill in the nine months ended August 31, 2023 are as follows (in thousands):</w:t>
            </w: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96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December 1, 2022</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671,037</w:t>
            </w:r>
          </w:p>
        </w:tc>
        <w:tc>
          <w:tcPr>
            <w:tcW w:w="0" w:type="dxa"/>
            <w:vAlign w:val="bottom"/>
          </w:tcPr>
          <w:p>
            <w:pPr>
              <w:spacing w:after="0"/>
              <w:rPr>
                <w:sz w:val="1"/>
                <w:szCs w:val="1"/>
                <w:color w:val="auto"/>
              </w:rPr>
            </w:pPr>
          </w:p>
        </w:tc>
      </w:tr>
      <w:tr>
        <w:trPr>
          <w:trHeight w:val="230"/>
        </w:trPr>
        <w:tc>
          <w:tcPr>
            <w:tcW w:w="9600" w:type="dxa"/>
            <w:vAlign w:val="bottom"/>
          </w:tcPr>
          <w:p>
            <w:pPr>
              <w:ind w:left="20"/>
              <w:spacing w:after="0" w:line="230" w:lineRule="exact"/>
              <w:rPr>
                <w:sz w:val="20"/>
                <w:szCs w:val="20"/>
                <w:color w:val="auto"/>
              </w:rPr>
            </w:pPr>
            <w:r>
              <w:rPr>
                <w:rFonts w:ascii="Arial" w:cs="Arial" w:eastAsia="Arial" w:hAnsi="Arial"/>
                <w:sz w:val="18"/>
                <w:szCs w:val="18"/>
                <w:color w:val="auto"/>
              </w:rPr>
              <w:t>Additions</w:t>
            </w:r>
            <w:r>
              <w:rPr>
                <w:rFonts w:ascii="Arial" w:cs="Arial" w:eastAsia="Arial" w:hAnsi="Arial"/>
                <w:sz w:val="23"/>
                <w:szCs w:val="23"/>
                <w:color w:val="auto"/>
                <w:vertAlign w:val="superscript"/>
              </w:rPr>
              <w:t>(1)</w:t>
            </w: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155,014</w:t>
            </w:r>
          </w:p>
        </w:tc>
        <w:tc>
          <w:tcPr>
            <w:tcW w:w="0" w:type="dxa"/>
            <w:vAlign w:val="bottom"/>
          </w:tcPr>
          <w:p>
            <w:pPr>
              <w:spacing w:after="0"/>
              <w:rPr>
                <w:sz w:val="1"/>
                <w:szCs w:val="1"/>
                <w:color w:val="auto"/>
              </w:rPr>
            </w:pPr>
          </w:p>
        </w:tc>
      </w:tr>
      <w:tr>
        <w:trPr>
          <w:trHeight w:val="229"/>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Translation adjustments</w:t>
            </w:r>
          </w:p>
        </w:tc>
        <w:tc>
          <w:tcPr>
            <w:tcW w:w="5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9600" w:type="dxa"/>
            <w:vAlign w:val="bottom"/>
          </w:tcPr>
          <w:p>
            <w:pPr>
              <w:ind w:left="20"/>
              <w:spacing w:after="0"/>
              <w:rPr>
                <w:sz w:val="20"/>
                <w:szCs w:val="20"/>
                <w:color w:val="auto"/>
              </w:rPr>
            </w:pPr>
            <w:r>
              <w:rPr>
                <w:rFonts w:ascii="Arial" w:cs="Arial" w:eastAsia="Arial" w:hAnsi="Arial"/>
                <w:sz w:val="18"/>
                <w:szCs w:val="18"/>
                <w:color w:val="auto"/>
              </w:rPr>
              <w:t>Balance, August 31, 2023</w:t>
            </w: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826,048</w:t>
            </w:r>
          </w:p>
        </w:tc>
        <w:tc>
          <w:tcPr>
            <w:tcW w:w="0" w:type="dxa"/>
            <w:vAlign w:val="bottom"/>
          </w:tcPr>
          <w:p>
            <w:pPr>
              <w:spacing w:after="0"/>
              <w:rPr>
                <w:sz w:val="1"/>
                <w:szCs w:val="1"/>
                <w:color w:val="auto"/>
              </w:rPr>
            </w:pPr>
          </w:p>
        </w:tc>
      </w:tr>
      <w:tr>
        <w:trPr>
          <w:trHeight w:val="20"/>
        </w:trPr>
        <w:tc>
          <w:tcPr>
            <w:tcW w:w="96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(1) The additions to goodwill during fiscal year 2023 are related to the acquisition of MarkLogic in February 2023. See Note 6: Business Combinations for additional information.</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Business Combinations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MarkLogic Acquisition</w:t>
      </w:r>
    </w:p>
    <w:p>
      <w:pPr>
        <w:spacing w:after="0" w:line="25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On February 7, 2023, we completed the acquisition of the parent company of MarkLogic Corporation ("MarkLogic"), pursuant to the Stock Purchase Agreement (the "Purchase Agreement"), dated as of January 3, 2023. The acquisition was completed for a base purchase price of $355.0 million (subject to certain customary adjustments) in cash.</w:t>
      </w:r>
    </w:p>
    <w:p>
      <w:pPr>
        <w:spacing w:after="0" w:line="211" w:lineRule="exact"/>
        <w:rPr>
          <w:sz w:val="20"/>
          <w:szCs w:val="20"/>
          <w:color w:val="auto"/>
        </w:rPr>
      </w:pPr>
    </w:p>
    <w:p>
      <w:pPr>
        <w:jc w:val="both"/>
        <w:ind w:right="40"/>
        <w:spacing w:after="0" w:line="311" w:lineRule="auto"/>
        <w:rPr>
          <w:sz w:val="20"/>
          <w:szCs w:val="20"/>
          <w:color w:val="auto"/>
        </w:rPr>
      </w:pPr>
      <w:r>
        <w:rPr>
          <w:rFonts w:ascii="Arial" w:cs="Arial" w:eastAsia="Arial" w:hAnsi="Arial"/>
          <w:sz w:val="16"/>
          <w:szCs w:val="16"/>
          <w:color w:val="auto"/>
        </w:rPr>
        <w:t>The acquisition consideration for MarkLogic has been preliminarily allocated to MarkLogic’s assets and assumed liabilities based on estimated fair values. The preliminary fair value estimates of the net assets acquired are based upon preliminary calculations and valuations, and those estimates and assumptions are subject to change as we obtain additional information for those estimates during the measurement period (up to one year from the acquisition date).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00" w:type="dxa"/>
            <w:vAlign w:val="bottom"/>
          </w:tcPr>
          <w:p>
            <w:pPr>
              <w:spacing w:after="0"/>
              <w:rPr>
                <w:sz w:val="20"/>
                <w:szCs w:val="20"/>
                <w:color w:val="auto"/>
              </w:rPr>
            </w:pPr>
            <w:r>
              <w:rPr>
                <w:rFonts w:ascii="Arial" w:cs="Arial" w:eastAsia="Arial" w:hAnsi="Arial"/>
                <w:sz w:val="18"/>
                <w:szCs w:val="18"/>
                <w:color w:val="auto"/>
                <w:w w:val="95"/>
              </w:rPr>
              <w:t>The allocation of the purchase price is as follows (in thousands):</w:t>
            </w: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45"/>
        </w:trPr>
        <w:tc>
          <w:tcPr>
            <w:tcW w:w="4900" w:type="dxa"/>
            <w:vAlign w:val="bottom"/>
          </w:tcPr>
          <w:p>
            <w:pPr>
              <w:spacing w:after="0"/>
              <w:rPr>
                <w:sz w:val="24"/>
                <w:szCs w:val="24"/>
                <w:color w:val="auto"/>
              </w:rPr>
            </w:pPr>
          </w:p>
        </w:tc>
        <w:tc>
          <w:tcPr>
            <w:tcW w:w="1740" w:type="dxa"/>
            <w:vAlign w:val="bottom"/>
            <w:gridSpan w:val="3"/>
          </w:tcPr>
          <w:p>
            <w:pPr>
              <w:jc w:val="center"/>
              <w:ind w:right="120"/>
              <w:spacing w:after="0"/>
              <w:rPr>
                <w:sz w:val="20"/>
                <w:szCs w:val="20"/>
                <w:color w:val="auto"/>
              </w:rPr>
            </w:pPr>
            <w:r>
              <w:rPr>
                <w:rFonts w:ascii="Arial" w:cs="Arial" w:eastAsia="Arial" w:hAnsi="Arial"/>
                <w:sz w:val="18"/>
                <w:szCs w:val="18"/>
                <w:color w:val="auto"/>
                <w:w w:val="91"/>
              </w:rPr>
              <w:t>Initial Purchase Price</w:t>
            </w:r>
          </w:p>
        </w:tc>
        <w:tc>
          <w:tcPr>
            <w:tcW w:w="1760" w:type="dxa"/>
            <w:vAlign w:val="bottom"/>
            <w:gridSpan w:val="3"/>
          </w:tcPr>
          <w:p>
            <w:pPr>
              <w:jc w:val="center"/>
              <w:ind w:right="120"/>
              <w:spacing w:after="0"/>
              <w:rPr>
                <w:sz w:val="20"/>
                <w:szCs w:val="20"/>
                <w:color w:val="auto"/>
              </w:rPr>
            </w:pPr>
            <w:r>
              <w:rPr>
                <w:rFonts w:ascii="Arial" w:cs="Arial" w:eastAsia="Arial" w:hAnsi="Arial"/>
                <w:sz w:val="18"/>
                <w:szCs w:val="18"/>
                <w:color w:val="auto"/>
                <w:w w:val="88"/>
              </w:rPr>
              <w:t>Measurement Period</w:t>
            </w:r>
          </w:p>
        </w:tc>
        <w:tc>
          <w:tcPr>
            <w:tcW w:w="120" w:type="dxa"/>
            <w:vAlign w:val="bottom"/>
          </w:tcPr>
          <w:p>
            <w:pPr>
              <w:spacing w:after="0"/>
              <w:rPr>
                <w:sz w:val="24"/>
                <w:szCs w:val="24"/>
                <w:color w:val="auto"/>
              </w:rPr>
            </w:pPr>
          </w:p>
        </w:tc>
        <w:tc>
          <w:tcPr>
            <w:tcW w:w="1500" w:type="dxa"/>
            <w:vAlign w:val="bottom"/>
          </w:tcPr>
          <w:p>
            <w:pPr>
              <w:jc w:val="right"/>
              <w:ind w:right="50"/>
              <w:spacing w:after="0"/>
              <w:rPr>
                <w:sz w:val="20"/>
                <w:szCs w:val="20"/>
                <w:color w:val="auto"/>
              </w:rPr>
            </w:pPr>
            <w:r>
              <w:rPr>
                <w:rFonts w:ascii="Arial" w:cs="Arial" w:eastAsia="Arial" w:hAnsi="Arial"/>
                <w:sz w:val="18"/>
                <w:szCs w:val="18"/>
                <w:color w:val="auto"/>
                <w:w w:val="88"/>
              </w:rPr>
              <w:t>Adjusted Purchase</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43"/>
        </w:trPr>
        <w:tc>
          <w:tcPr>
            <w:tcW w:w="4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8"/>
                <w:szCs w:val="18"/>
                <w:color w:val="auto"/>
                <w:w w:val="97"/>
              </w:rPr>
              <w:t>Allocation</w:t>
            </w:r>
          </w:p>
        </w:tc>
        <w:tc>
          <w:tcPr>
            <w:tcW w:w="240" w:type="dxa"/>
            <w:vAlign w:val="bottom"/>
          </w:tcPr>
          <w:p>
            <w:pPr>
              <w:spacing w:after="0"/>
              <w:rPr>
                <w:sz w:val="21"/>
                <w:szCs w:val="21"/>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Adjustments</w:t>
            </w:r>
          </w:p>
        </w:tc>
        <w:tc>
          <w:tcPr>
            <w:tcW w:w="120" w:type="dxa"/>
            <w:vAlign w:val="bottom"/>
          </w:tcPr>
          <w:p>
            <w:pPr>
              <w:spacing w:after="0"/>
              <w:rPr>
                <w:sz w:val="21"/>
                <w:szCs w:val="21"/>
                <w:color w:val="auto"/>
              </w:rPr>
            </w:pP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Price Allocation</w:t>
            </w:r>
          </w:p>
        </w:tc>
        <w:tc>
          <w:tcPr>
            <w:tcW w:w="12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rPr>
              <w:t>Life</w:t>
            </w:r>
          </w:p>
        </w:tc>
      </w:tr>
      <w:tr>
        <w:trPr>
          <w:trHeight w:val="223"/>
        </w:trPr>
        <w:tc>
          <w:tcPr>
            <w:tcW w:w="4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working capital</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49,477</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(1,063)</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48,414</w:t>
            </w: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r>
      <w:tr>
        <w:trPr>
          <w:trHeight w:val="230"/>
        </w:trPr>
        <w:tc>
          <w:tcPr>
            <w:tcW w:w="490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723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723</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Purchased technology</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67,300</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 years</w:t>
            </w:r>
          </w:p>
        </w:tc>
      </w:tr>
      <w:tr>
        <w:trPr>
          <w:trHeight w:val="229"/>
        </w:trPr>
        <w:tc>
          <w:tcPr>
            <w:tcW w:w="4900" w:type="dxa"/>
            <w:vAlign w:val="bottom"/>
          </w:tcPr>
          <w:p>
            <w:pPr>
              <w:ind w:left="20"/>
              <w:spacing w:after="0"/>
              <w:rPr>
                <w:sz w:val="20"/>
                <w:szCs w:val="20"/>
                <w:color w:val="auto"/>
              </w:rPr>
            </w:pPr>
            <w:r>
              <w:rPr>
                <w:rFonts w:ascii="Arial" w:cs="Arial" w:eastAsia="Arial" w:hAnsi="Arial"/>
                <w:sz w:val="18"/>
                <w:szCs w:val="18"/>
                <w:color w:val="auto"/>
              </w:rPr>
              <w:t>Trade name</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12,500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12,500</w:t>
            </w:r>
          </w:p>
        </w:tc>
        <w:tc>
          <w:tcPr>
            <w:tcW w:w="12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8"/>
              </w:rPr>
              <w:t>7 years</w:t>
            </w:r>
          </w:p>
        </w:tc>
      </w:tr>
      <w:tr>
        <w:trPr>
          <w:trHeight w:val="230"/>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151,300</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 years</w:t>
            </w:r>
          </w:p>
        </w:tc>
      </w:tr>
      <w:tr>
        <w:trPr>
          <w:trHeight w:val="230"/>
        </w:trPr>
        <w:tc>
          <w:tcPr>
            <w:tcW w:w="4900" w:type="dxa"/>
            <w:vAlign w:val="bottom"/>
          </w:tcPr>
          <w:p>
            <w:pPr>
              <w:ind w:left="20"/>
              <w:spacing w:after="0"/>
              <w:rPr>
                <w:sz w:val="20"/>
                <w:szCs w:val="20"/>
                <w:color w:val="auto"/>
              </w:rPr>
            </w:pPr>
            <w:r>
              <w:rPr>
                <w:rFonts w:ascii="Arial" w:cs="Arial" w:eastAsia="Arial" w:hAnsi="Arial"/>
                <w:sz w:val="18"/>
                <w:szCs w:val="18"/>
                <w:color w:val="auto"/>
              </w:rPr>
              <w:t>Other assets, including long-term unbilled receivables</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6,172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(1,401)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4,771</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taxes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(17,441)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(18,398)</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490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(33,116)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(33,116)</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140,964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14,050</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155,014</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3"/>
        </w:trPr>
        <w:tc>
          <w:tcPr>
            <w:tcW w:w="4900" w:type="dxa"/>
            <w:vAlign w:val="bottom"/>
          </w:tcPr>
          <w:p>
            <w:pPr>
              <w:ind w:left="20"/>
              <w:spacing w:after="0"/>
              <w:rPr>
                <w:sz w:val="20"/>
                <w:szCs w:val="20"/>
                <w:color w:val="auto"/>
              </w:rPr>
            </w:pPr>
            <w:r>
              <w:rPr>
                <w:rFonts w:ascii="Arial" w:cs="Arial" w:eastAsia="Arial" w:hAnsi="Arial"/>
                <w:sz w:val="18"/>
                <w:szCs w:val="18"/>
                <w:color w:val="auto"/>
              </w:rPr>
              <w:t>Net assets acquired</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389,079</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388,508</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1"/>
        </w:trPr>
        <w:tc>
          <w:tcPr>
            <w:tcW w:w="4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14" w:name="page15"/>
    <w:bookmarkEnd w:id="14"/>
    <w:p>
      <w:pPr>
        <w:ind w:right="100"/>
        <w:spacing w:after="0" w:line="259" w:lineRule="auto"/>
        <w:rPr>
          <w:sz w:val="20"/>
          <w:szCs w:val="20"/>
          <w:color w:val="auto"/>
        </w:rPr>
      </w:pPr>
      <w:r>
        <w:rPr>
          <w:rFonts w:ascii="Arial" w:cs="Arial" w:eastAsia="Arial" w:hAnsi="Arial"/>
          <w:sz w:val="18"/>
          <w:szCs w:val="18"/>
          <w:color w:val="auto"/>
        </w:rPr>
        <w:t>The fair value of the intangible assets was estimated using the income approach in which the after-tax cash flows are discounted to present value. The cash flows are based on estimates used to value the acquisition, and the discount rates applied were benchmarked with reference to the implied rate of return from the transaction model as well as the weighted average cost of capital. The valuation assumptions take into consideration our estimates of customer attrition, technology obsolescence, and revenue growth projections.</w:t>
      </w:r>
    </w:p>
    <w:p>
      <w:pPr>
        <w:spacing w:after="0" w:line="21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We determined the acquisition date deferred revenue balance based on our assessment of the individual contracts acquired. A significant portion of the deferred revenue is expected to be recognized in the 12 months following the acquisition.</w:t>
      </w:r>
    </w:p>
    <w:p>
      <w:pPr>
        <w:spacing w:after="0" w:line="19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We recorded the excess of the purchase price over the identified tangible and intangible assets as goodwill. We believe that the investment value of the future enhancement of our product and solution offerings created as a result of this acquisition has principally contributed to a purchase price that resulted in the recognition of $155.0 million of goodwill, which is not deductible for tax purposes.</w:t>
      </w:r>
    </w:p>
    <w:p>
      <w:pPr>
        <w:spacing w:after="0" w:line="21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Acquisition-related transaction costs (e.g., legal, due diligence, valuation, and other professional fees) and certain acquisition restructuring and related charges are not included as a component of consideration transferred but are required to be expensed as incurred. During the three and nine months ended August 31, 2023, we incurred approximately $0.6 million and $4.1 million, respectively, of acquisition-related costs, which are included in acquisition-related expenses on our consolidated statement of operations.</w:t>
      </w:r>
    </w:p>
    <w:p>
      <w:pPr>
        <w:spacing w:after="0" w:line="21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amount of revenue of MarkLogic included in our consolidated statement of operations during the three and nine months ended August 31, 2023, was approximately $20.4 million and $50.7 million, respectively. We determined that disclosing the amount of MarkLogic related earnings included in the consolidated statement of operations is impracticable, as certain operations of MarkLogic were integrated into the operations of the Company from the date of acquisition.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Information</w:t>
      </w:r>
    </w:p>
    <w:p>
      <w:pPr>
        <w:spacing w:after="0" w:line="25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following pro forma financial information presents the combined results of operations of Progress and MarkLogic as if the acquisition had occurred on December 1, 2021, after giving effect to certain pro forma adjustments. The pro forma adjustments reflected herein include only those adjustments that are directly attributable to the MarkLogic acquisition and factually supportable. These pro forma adjustments include: (i) a net increase in amortization expense to record amortization expense relating to the $231.1 million of acquired identifiable intangible assets, (ii) an increase in interest expense to record interest for the period presented as a result of drawing down our revolving line of credit in connection with the acquisition, and (iii) the income tax effect of the adjustments made at the statutory tax rate of the U.S. (approximately 24.5%).</w:t>
      </w:r>
    </w:p>
    <w:p>
      <w:pPr>
        <w:spacing w:after="0" w:line="205"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The pro forma financial information does not reflect any adjustments for anticipated expense savings resulting from the acquisition and is not necessarily indicative of the operating results that would have actually occurred had the transaction been consummated on December 1, 2021.</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gridSpan w:val="2"/>
          </w:tcPr>
          <w:p>
            <w:pPr>
              <w:jc w:val="center"/>
              <w:spacing w:after="0"/>
              <w:rPr>
                <w:sz w:val="20"/>
                <w:szCs w:val="20"/>
                <w:color w:val="auto"/>
              </w:rPr>
            </w:pPr>
            <w:r>
              <w:rPr>
                <w:rFonts w:ascii="Arial" w:cs="Arial" w:eastAsia="Arial" w:hAnsi="Arial"/>
                <w:sz w:val="18"/>
                <w:szCs w:val="18"/>
                <w:color w:val="auto"/>
                <w:w w:val="90"/>
              </w:rPr>
              <w:t>Pro Forma Three Months Ended August</w:t>
            </w:r>
          </w:p>
        </w:tc>
      </w:tr>
      <w:tr>
        <w:trPr>
          <w:trHeight w:val="237"/>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per share data)</w:t>
            </w:r>
          </w:p>
        </w:tc>
        <w:tc>
          <w:tcPr>
            <w:tcW w:w="120" w:type="dxa"/>
            <w:vAlign w:val="bottom"/>
            <w:tcBorders>
              <w:bottom w:val="single" w:sz="8" w:color="CCEEFF"/>
            </w:tcBorders>
          </w:tcPr>
          <w:p>
            <w:pPr>
              <w:spacing w:after="0"/>
              <w:rPr>
                <w:sz w:val="20"/>
                <w:szCs w:val="20"/>
                <w:color w:val="auto"/>
              </w:rPr>
            </w:pPr>
          </w:p>
        </w:tc>
        <w:tc>
          <w:tcPr>
            <w:tcW w:w="29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1"/>
              </w:rPr>
              <w:t>31, 2022</w:t>
            </w:r>
          </w:p>
        </w:tc>
      </w:tr>
      <w:tr>
        <w:trPr>
          <w:trHeight w:val="229"/>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spacing w:after="0"/>
              <w:rPr>
                <w:sz w:val="19"/>
                <w:szCs w:val="19"/>
                <w:color w:val="auto"/>
              </w:rPr>
            </w:pPr>
          </w:p>
        </w:tc>
        <w:tc>
          <w:tcPr>
            <w:tcW w:w="2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174,676</w:t>
            </w:r>
          </w:p>
        </w:tc>
      </w:tr>
      <w:tr>
        <w:trPr>
          <w:trHeight w:val="229"/>
        </w:trPr>
        <w:tc>
          <w:tcPr>
            <w:tcW w:w="49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960" w:type="dxa"/>
            <w:vAlign w:val="bottom"/>
          </w:tcPr>
          <w:p>
            <w:pPr>
              <w:jc w:val="right"/>
              <w:spacing w:after="0"/>
              <w:rPr>
                <w:sz w:val="20"/>
                <w:szCs w:val="20"/>
                <w:color w:val="auto"/>
              </w:rPr>
            </w:pPr>
            <w:r>
              <w:rPr>
                <w:rFonts w:ascii="Arial" w:cs="Arial" w:eastAsia="Arial" w:hAnsi="Arial"/>
                <w:sz w:val="18"/>
                <w:szCs w:val="18"/>
                <w:color w:val="auto"/>
              </w:rPr>
              <w:t>16,141</w:t>
            </w:r>
          </w:p>
        </w:tc>
      </w:tr>
      <w:tr>
        <w:trPr>
          <w:trHeight w:val="230"/>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basic share</w:t>
            </w:r>
          </w:p>
        </w:tc>
        <w:tc>
          <w:tcPr>
            <w:tcW w:w="120" w:type="dxa"/>
            <w:vAlign w:val="bottom"/>
            <w:shd w:val="clear" w:color="auto" w:fill="CCEEFF"/>
          </w:tcPr>
          <w:p>
            <w:pPr>
              <w:spacing w:after="0"/>
              <w:rPr>
                <w:sz w:val="19"/>
                <w:szCs w:val="19"/>
                <w:color w:val="auto"/>
              </w:rPr>
            </w:pPr>
          </w:p>
        </w:tc>
        <w:tc>
          <w:tcPr>
            <w:tcW w:w="2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Net income per diluted share</w:t>
            </w:r>
          </w:p>
        </w:tc>
        <w:tc>
          <w:tcPr>
            <w:tcW w:w="1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960" w:type="dxa"/>
            <w:vAlign w:val="bottom"/>
          </w:tcPr>
          <w:p>
            <w:pPr>
              <w:jc w:val="right"/>
              <w:spacing w:after="0"/>
              <w:rPr>
                <w:sz w:val="20"/>
                <w:szCs w:val="20"/>
                <w:color w:val="auto"/>
              </w:rPr>
            </w:pPr>
            <w:r>
              <w:rPr>
                <w:rFonts w:ascii="Arial" w:cs="Arial" w:eastAsia="Arial" w:hAnsi="Arial"/>
                <w:sz w:val="18"/>
                <w:szCs w:val="18"/>
                <w:color w:val="auto"/>
              </w:rPr>
              <w:t>0.37</w:t>
            </w:r>
          </w:p>
        </w:tc>
      </w:tr>
      <w:tr>
        <w:trPr>
          <w:trHeight w:val="539"/>
        </w:trPr>
        <w:tc>
          <w:tcPr>
            <w:tcW w:w="4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60" w:type="dxa"/>
            <w:vAlign w:val="bottom"/>
            <w:gridSpan w:val="2"/>
          </w:tcPr>
          <w:p>
            <w:pPr>
              <w:ind w:left="20"/>
              <w:spacing w:after="0"/>
              <w:rPr>
                <w:sz w:val="20"/>
                <w:szCs w:val="20"/>
                <w:color w:val="auto"/>
              </w:rPr>
            </w:pPr>
            <w:r>
              <w:rPr>
                <w:rFonts w:ascii="Arial" w:cs="Arial" w:eastAsia="Arial" w:hAnsi="Arial"/>
                <w:sz w:val="18"/>
                <w:szCs w:val="18"/>
                <w:color w:val="auto"/>
                <w:w w:val="97"/>
              </w:rPr>
              <w:t>Pro Forma Nine Months Ended August</w:t>
            </w:r>
          </w:p>
        </w:tc>
        <w:tc>
          <w:tcPr>
            <w:tcW w:w="120" w:type="dxa"/>
            <w:vAlign w:val="bottom"/>
          </w:tcPr>
          <w:p>
            <w:pPr>
              <w:spacing w:after="0"/>
              <w:rPr>
                <w:sz w:val="24"/>
                <w:szCs w:val="24"/>
                <w:color w:val="auto"/>
              </w:rPr>
            </w:pPr>
          </w:p>
        </w:tc>
        <w:tc>
          <w:tcPr>
            <w:tcW w:w="2960" w:type="dxa"/>
            <w:vAlign w:val="bottom"/>
          </w:tcPr>
          <w:p>
            <w:pPr>
              <w:jc w:val="center"/>
              <w:ind w:right="30"/>
              <w:spacing w:after="0"/>
              <w:rPr>
                <w:sz w:val="20"/>
                <w:szCs w:val="20"/>
                <w:color w:val="auto"/>
              </w:rPr>
            </w:pPr>
            <w:r>
              <w:rPr>
                <w:rFonts w:ascii="Arial" w:cs="Arial" w:eastAsia="Arial" w:hAnsi="Arial"/>
                <w:sz w:val="18"/>
                <w:szCs w:val="18"/>
                <w:color w:val="auto"/>
                <w:w w:val="91"/>
              </w:rPr>
              <w:t>Pro Forma Nine Months Ended August</w:t>
            </w:r>
          </w:p>
        </w:tc>
      </w:tr>
      <w:tr>
        <w:trPr>
          <w:trHeight w:val="237"/>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per share data)</w:t>
            </w:r>
          </w:p>
        </w:tc>
        <w:tc>
          <w:tcPr>
            <w:tcW w:w="12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tcPr>
          <w:p>
            <w:pPr>
              <w:jc w:val="right"/>
              <w:ind w:right="1130"/>
              <w:spacing w:after="0"/>
              <w:rPr>
                <w:sz w:val="20"/>
                <w:szCs w:val="20"/>
                <w:color w:val="auto"/>
              </w:rPr>
            </w:pPr>
            <w:r>
              <w:rPr>
                <w:rFonts w:ascii="Arial" w:cs="Arial" w:eastAsia="Arial" w:hAnsi="Arial"/>
                <w:sz w:val="18"/>
                <w:szCs w:val="18"/>
                <w:color w:val="auto"/>
              </w:rPr>
              <w:t>31, 2023</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1"/>
              </w:rPr>
              <w:t>31, 2022</w:t>
            </w:r>
          </w:p>
        </w:tc>
      </w:tr>
      <w:tr>
        <w:trPr>
          <w:trHeight w:val="229"/>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556,319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511,609</w:t>
            </w: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960" w:type="dxa"/>
            <w:vAlign w:val="bottom"/>
          </w:tcPr>
          <w:p>
            <w:pPr>
              <w:jc w:val="right"/>
              <w:spacing w:after="0"/>
              <w:rPr>
                <w:sz w:val="20"/>
                <w:szCs w:val="20"/>
                <w:color w:val="auto"/>
              </w:rPr>
            </w:pPr>
            <w:r>
              <w:rPr>
                <w:rFonts w:ascii="Arial" w:cs="Arial" w:eastAsia="Arial" w:hAnsi="Arial"/>
                <w:sz w:val="18"/>
                <w:szCs w:val="18"/>
                <w:color w:val="auto"/>
              </w:rPr>
              <w:t>64,094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960" w:type="dxa"/>
            <w:vAlign w:val="bottom"/>
          </w:tcPr>
          <w:p>
            <w:pPr>
              <w:jc w:val="right"/>
              <w:spacing w:after="0"/>
              <w:rPr>
                <w:sz w:val="20"/>
                <w:szCs w:val="20"/>
                <w:color w:val="auto"/>
              </w:rPr>
            </w:pPr>
            <w:r>
              <w:rPr>
                <w:rFonts w:ascii="Arial" w:cs="Arial" w:eastAsia="Arial" w:hAnsi="Arial"/>
                <w:sz w:val="18"/>
                <w:szCs w:val="18"/>
                <w:color w:val="auto"/>
              </w:rPr>
              <w:t>48,516</w:t>
            </w:r>
          </w:p>
        </w:tc>
      </w:tr>
      <w:tr>
        <w:trPr>
          <w:trHeight w:val="230"/>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basic share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Net income per diluted share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96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960" w:type="dxa"/>
            <w:vAlign w:val="bottom"/>
          </w:tcPr>
          <w:p>
            <w:pPr>
              <w:jc w:val="right"/>
              <w:spacing w:after="0"/>
              <w:rPr>
                <w:sz w:val="20"/>
                <w:szCs w:val="20"/>
                <w:color w:val="auto"/>
              </w:rPr>
            </w:pPr>
            <w:r>
              <w:rPr>
                <w:rFonts w:ascii="Arial" w:cs="Arial" w:eastAsia="Arial" w:hAnsi="Arial"/>
                <w:sz w:val="18"/>
                <w:szCs w:val="18"/>
                <w:color w:val="auto"/>
              </w:rPr>
              <w:t>1.10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4"/>
        </w:trPr>
        <w:tc>
          <w:tcPr>
            <w:tcW w:w="4860" w:type="dxa"/>
            <w:vAlign w:val="bottom"/>
          </w:tcPr>
          <w:p>
            <w:pPr>
              <w:spacing w:after="0"/>
              <w:rPr>
                <w:sz w:val="20"/>
                <w:szCs w:val="20"/>
                <w:color w:val="auto"/>
              </w:rPr>
            </w:pPr>
            <w:r>
              <w:rPr>
                <w:rFonts w:ascii="Arial" w:cs="Arial" w:eastAsia="Arial" w:hAnsi="Arial"/>
                <w:sz w:val="18"/>
                <w:szCs w:val="18"/>
                <w:b w:val="1"/>
                <w:bCs w:val="1"/>
                <w:color w:val="auto"/>
              </w:rPr>
              <w:t>Note 7: Debt</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59"/>
        </w:trPr>
        <w:tc>
          <w:tcPr>
            <w:tcW w:w="6780" w:type="dxa"/>
            <w:vAlign w:val="bottom"/>
            <w:gridSpan w:val="5"/>
          </w:tcPr>
          <w:p>
            <w:pPr>
              <w:spacing w:after="0"/>
              <w:rPr>
                <w:sz w:val="20"/>
                <w:szCs w:val="20"/>
                <w:color w:val="auto"/>
              </w:rPr>
            </w:pPr>
            <w:r>
              <w:rPr>
                <w:rFonts w:ascii="Arial" w:cs="Arial" w:eastAsia="Arial" w:hAnsi="Arial"/>
                <w:sz w:val="18"/>
                <w:szCs w:val="18"/>
                <w:color w:val="auto"/>
                <w:w w:val="94"/>
              </w:rPr>
              <w:t>As of August 31, 2023, future maturities of the Company's long-term debt were as follows:</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45"/>
        </w:trPr>
        <w:tc>
          <w:tcPr>
            <w:tcW w:w="4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gridSpan w:val="3"/>
          </w:tcPr>
          <w:p>
            <w:pPr>
              <w:jc w:val="center"/>
              <w:ind w:right="100"/>
              <w:spacing w:after="0"/>
              <w:rPr>
                <w:sz w:val="20"/>
                <w:szCs w:val="20"/>
                <w:color w:val="auto"/>
              </w:rPr>
            </w:pPr>
            <w:r>
              <w:rPr>
                <w:rFonts w:ascii="Arial" w:cs="Arial" w:eastAsia="Arial" w:hAnsi="Arial"/>
                <w:sz w:val="18"/>
                <w:szCs w:val="18"/>
                <w:color w:val="auto"/>
                <w:w w:val="95"/>
              </w:rPr>
              <w:t>Revolving Line of</w:t>
            </w: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43"/>
        </w:trPr>
        <w:tc>
          <w:tcPr>
            <w:tcW w:w="48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21"/>
                <w:szCs w:val="21"/>
                <w:color w:val="auto"/>
              </w:rPr>
            </w:pPr>
          </w:p>
        </w:tc>
        <w:tc>
          <w:tcPr>
            <w:tcW w:w="1380" w:type="dxa"/>
            <w:vAlign w:val="bottom"/>
            <w:gridSpan w:val="2"/>
          </w:tcPr>
          <w:p>
            <w:pPr>
              <w:ind w:left="120"/>
              <w:spacing w:after="0"/>
              <w:rPr>
                <w:sz w:val="20"/>
                <w:szCs w:val="20"/>
                <w:color w:val="auto"/>
              </w:rPr>
            </w:pPr>
            <w:r>
              <w:rPr>
                <w:rFonts w:ascii="Arial" w:cs="Arial" w:eastAsia="Arial" w:hAnsi="Arial"/>
                <w:sz w:val="18"/>
                <w:szCs w:val="18"/>
                <w:color w:val="auto"/>
              </w:rPr>
              <w:t>2026 Notes</w:t>
            </w:r>
          </w:p>
        </w:tc>
        <w:tc>
          <w:tcPr>
            <w:tcW w:w="320" w:type="dxa"/>
            <w:vAlign w:val="bottom"/>
          </w:tcPr>
          <w:p>
            <w:pPr>
              <w:spacing w:after="0"/>
              <w:rPr>
                <w:sz w:val="21"/>
                <w:szCs w:val="21"/>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8"/>
                <w:szCs w:val="18"/>
                <w:color w:val="auto"/>
                <w:w w:val="91"/>
              </w:rPr>
              <w:t>Credit</w:t>
            </w:r>
          </w:p>
        </w:tc>
        <w:tc>
          <w:tcPr>
            <w:tcW w:w="240" w:type="dxa"/>
            <w:vAlign w:val="bottom"/>
          </w:tcPr>
          <w:p>
            <w:pPr>
              <w:spacing w:after="0"/>
              <w:rPr>
                <w:sz w:val="21"/>
                <w:szCs w:val="21"/>
                <w:color w:val="auto"/>
              </w:rPr>
            </w:pPr>
          </w:p>
        </w:tc>
        <w:tc>
          <w:tcPr>
            <w:tcW w:w="1380" w:type="dxa"/>
            <w:vAlign w:val="bottom"/>
            <w:gridSpan w:val="2"/>
          </w:tcPr>
          <w:p>
            <w:pPr>
              <w:ind w:left="120"/>
              <w:spacing w:after="0"/>
              <w:rPr>
                <w:sz w:val="20"/>
                <w:szCs w:val="20"/>
                <w:color w:val="auto"/>
              </w:rPr>
            </w:pPr>
            <w:r>
              <w:rPr>
                <w:rFonts w:ascii="Arial" w:cs="Arial" w:eastAsia="Arial" w:hAnsi="Arial"/>
                <w:sz w:val="18"/>
                <w:szCs w:val="18"/>
                <w:color w:val="auto"/>
              </w:rPr>
              <w:t>Term Loan</w:t>
            </w:r>
          </w:p>
        </w:tc>
        <w:tc>
          <w:tcPr>
            <w:tcW w:w="340" w:type="dxa"/>
            <w:vAlign w:val="bottom"/>
          </w:tcPr>
          <w:p>
            <w:pPr>
              <w:spacing w:after="0"/>
              <w:rPr>
                <w:sz w:val="21"/>
                <w:szCs w:val="21"/>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color w:val="auto"/>
              </w:rPr>
              <w:t>Total</w:t>
            </w:r>
          </w:p>
        </w:tc>
      </w:tr>
      <w:tr>
        <w:trPr>
          <w:trHeight w:val="223"/>
        </w:trPr>
        <w:tc>
          <w:tcPr>
            <w:tcW w:w="4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Remainder of 2023</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1,719</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1,719</w:t>
            </w:r>
          </w:p>
        </w:tc>
      </w:tr>
      <w:tr>
        <w:trPr>
          <w:trHeight w:val="229"/>
        </w:trPr>
        <w:tc>
          <w:tcPr>
            <w:tcW w:w="4860" w:type="dxa"/>
            <w:vAlign w:val="bottom"/>
          </w:tcPr>
          <w:p>
            <w:pPr>
              <w:ind w:left="20"/>
              <w:spacing w:after="0"/>
              <w:rPr>
                <w:sz w:val="20"/>
                <w:szCs w:val="20"/>
                <w:color w:val="auto"/>
              </w:rPr>
            </w:pPr>
            <w:r>
              <w:rPr>
                <w:rFonts w:ascii="Arial" w:cs="Arial" w:eastAsia="Arial" w:hAnsi="Arial"/>
                <w:sz w:val="18"/>
                <w:szCs w:val="18"/>
                <w:color w:val="auto"/>
              </w:rPr>
              <w:t>2024</w:t>
            </w:r>
          </w:p>
        </w:tc>
        <w:tc>
          <w:tcPr>
            <w:tcW w:w="22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13,750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13,750</w:t>
            </w: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20,625</w:t>
            </w: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2026</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360,000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20,625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380,625</w:t>
            </w: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206,250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346,250</w:t>
            </w:r>
          </w:p>
        </w:tc>
      </w:tr>
      <w:tr>
        <w:trPr>
          <w:trHeight w:val="223"/>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face value of long-term debt</w:t>
            </w:r>
          </w:p>
        </w:tc>
        <w:tc>
          <w:tcPr>
            <w:tcW w:w="22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360,000</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140,000</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262,969</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762,969</w:t>
            </w:r>
          </w:p>
        </w:tc>
      </w:tr>
      <w:tr>
        <w:trPr>
          <w:trHeight w:val="223"/>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Unamortized discount and issuance costs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(7,945)</w:t>
            </w: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Less current portion of long-term debt, net</w:t>
            </w:r>
          </w:p>
        </w:tc>
        <w:tc>
          <w:tcPr>
            <w:tcW w:w="22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(11,390)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(11,390)</w:t>
            </w:r>
          </w:p>
        </w:tc>
      </w:tr>
      <w:tr>
        <w:trPr>
          <w:trHeight w:val="248"/>
        </w:trPr>
        <w:tc>
          <w:tcPr>
            <w:tcW w:w="4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354,246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249,388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743,634</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revolving line of credit has a term that ends on January 25, 2027, at which time all amounts outstanding must be repaid.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Common Stock Repurchases</w:t>
      </w:r>
    </w:p>
    <w:p>
      <w:pPr>
        <w:spacing w:after="0" w:line="256" w:lineRule="exact"/>
        <w:rPr>
          <w:sz w:val="20"/>
          <w:szCs w:val="20"/>
          <w:color w:val="auto"/>
        </w:rPr>
      </w:pPr>
    </w:p>
    <w:p>
      <w:pPr>
        <w:jc w:val="both"/>
        <w:ind w:right="40"/>
        <w:spacing w:after="0" w:line="287" w:lineRule="auto"/>
        <w:rPr>
          <w:sz w:val="20"/>
          <w:szCs w:val="20"/>
          <w:color w:val="auto"/>
        </w:rPr>
      </w:pPr>
      <w:r>
        <w:rPr>
          <w:rFonts w:ascii="Arial" w:cs="Arial" w:eastAsia="Arial" w:hAnsi="Arial"/>
          <w:sz w:val="16"/>
          <w:szCs w:val="16"/>
          <w:color w:val="auto"/>
        </w:rPr>
        <w:t>In January 2023, our Board of Directors increased the share repurchase authorization by $150.0 million, to an aggregate authorization of $228.0 million. In the three months ended August 31, 2023, we did not repurchase and retire any shares of our common stock. In the three months ended August 31, 2022, we repurchased and retired 0.5 million shares for $24.1 million. In the nine months ended August 31, 2023 and August 31, 2022, we repurchased and retired</w:t>
      </w:r>
    </w:p>
    <w:p>
      <w:pPr>
        <w:spacing w:after="0" w:line="2" w:lineRule="exact"/>
        <w:rPr>
          <w:sz w:val="20"/>
          <w:szCs w:val="20"/>
          <w:color w:val="auto"/>
        </w:rPr>
      </w:pPr>
    </w:p>
    <w:p>
      <w:pPr>
        <w:jc w:val="both"/>
        <w:ind w:right="40"/>
        <w:spacing w:after="0" w:line="290" w:lineRule="auto"/>
        <w:rPr>
          <w:sz w:val="20"/>
          <w:szCs w:val="20"/>
          <w:color w:val="auto"/>
        </w:rPr>
      </w:pPr>
      <w:r>
        <w:rPr>
          <w:rFonts w:ascii="Arial" w:cs="Arial" w:eastAsia="Arial" w:hAnsi="Arial"/>
          <w:sz w:val="17"/>
          <w:szCs w:val="17"/>
          <w:color w:val="auto"/>
        </w:rPr>
        <w:t>0.5 million shares for $30.0 million and 1.7 million shares for $75.5 million, respectively. The shares were repurchased in both periods as part of our Board of Directors authorized share repurchase program. As of August 31, 2023, there was $198.0 million remaining under the current authorization.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Stock-Based Compensation</w:t>
      </w:r>
    </w:p>
    <w:p>
      <w:pPr>
        <w:spacing w:after="0" w:line="256"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Stock-based compensation expense reflects the fair value of stock-based awards, less the present value of expected dividends when applicable, measured at the grant date and recognized over the relevant service period. We estimate the fair value of each stock-based award on the measurement date using the current market price of the stock, the Black-Scholes option valuation model, or the Monte Carlo Simulation valuation model.</w:t>
      </w:r>
    </w:p>
    <w:p>
      <w:pPr>
        <w:spacing w:after="0" w:line="176"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In 2021, 2022 and 2023, we granted performance-based restricted stock units that include two performance metrics under our Long-Term Incentive Plan ("LTIP") where the performance measurement period is three years. Vesting of the LTIP awards on the 2021, 2022 and 2023 plans are based on the following: (i) 25% is based on our level of attainment of specified TSR targets relative to the percentage appreciation of a specified index of companies for the respective three-year periods, and (ii) 75% is based on achievement of a three-year cumulative operating income target. In order to estimate the fair value of such awards, we used a Monte Carlo Simulation valuation model for the market condition portion of the award, and used the closing price of our common stock on the date of grant for the portion related to the performance condition.</w:t>
      </w:r>
    </w:p>
    <w:p>
      <w:pPr>
        <w:spacing w:after="0" w:line="205"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The Black-Scholes and Monte Carlo Simulation valuation models incorporate assumptions as to stock price volatility, the expected life of options or awards, a risk-free interest rate and dividend yield. We recognize stock-based compensation expense related to options and restricted stock units on a straight-line basis over the service period of the award, which is generally four years for options and three years for restricted stock units. We recognize stock-based compensation expense related to our employee stock purchase plan using an accelerated attribution method.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6" w:name="page17"/>
    <w:bookmarkEnd w:id="16"/>
    <w:p>
      <w:pPr>
        <w:ind w:right="580"/>
        <w:spacing w:after="0" w:line="277" w:lineRule="auto"/>
        <w:rPr>
          <w:sz w:val="20"/>
          <w:szCs w:val="20"/>
          <w:color w:val="auto"/>
        </w:rPr>
      </w:pPr>
      <w:r>
        <w:rPr>
          <w:rFonts w:ascii="Arial" w:cs="Arial" w:eastAsia="Arial" w:hAnsi="Arial"/>
          <w:sz w:val="18"/>
          <w:szCs w:val="18"/>
          <w:color w:val="auto"/>
        </w:rPr>
        <w:t>The following table provides the classification of stock-based compensation as reflected on our condensed consolidated statements of operations (in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40" w:type="dxa"/>
            <w:vAlign w:val="bottom"/>
            <w:gridSpan w:val="5"/>
          </w:tcPr>
          <w:p>
            <w:pPr>
              <w:ind w:left="600"/>
              <w:spacing w:after="0"/>
              <w:rPr>
                <w:sz w:val="20"/>
                <w:szCs w:val="20"/>
                <w:color w:val="auto"/>
              </w:rPr>
            </w:pPr>
            <w:r>
              <w:rPr>
                <w:rFonts w:ascii="Arial" w:cs="Arial" w:eastAsia="Arial" w:hAnsi="Arial"/>
                <w:sz w:val="18"/>
                <w:szCs w:val="18"/>
                <w:color w:val="auto"/>
              </w:rPr>
              <w:t>Three Months Ended</w:t>
            </w:r>
          </w:p>
        </w:tc>
        <w:tc>
          <w:tcPr>
            <w:tcW w:w="120" w:type="dxa"/>
            <w:vAlign w:val="bottom"/>
          </w:tcPr>
          <w:p>
            <w:pPr>
              <w:spacing w:after="0"/>
              <w:rPr>
                <w:sz w:val="20"/>
                <w:szCs w:val="20"/>
                <w:color w:val="auto"/>
              </w:rPr>
            </w:pPr>
          </w:p>
        </w:tc>
        <w:tc>
          <w:tcPr>
            <w:tcW w:w="2860" w:type="dxa"/>
            <w:vAlign w:val="bottom"/>
            <w:gridSpan w:val="4"/>
          </w:tcPr>
          <w:p>
            <w:pPr>
              <w:jc w:val="right"/>
              <w:ind w:right="670"/>
              <w:spacing w:after="0"/>
              <w:rPr>
                <w:sz w:val="20"/>
                <w:szCs w:val="20"/>
                <w:color w:val="auto"/>
              </w:rPr>
            </w:pPr>
            <w:r>
              <w:rPr>
                <w:rFonts w:ascii="Arial" w:cs="Arial" w:eastAsia="Arial" w:hAnsi="Arial"/>
                <w:sz w:val="18"/>
                <w:szCs w:val="18"/>
                <w:color w:val="auto"/>
              </w:rPr>
              <w:t>Nine Months Ended</w:t>
            </w:r>
          </w:p>
        </w:tc>
      </w:tr>
      <w:tr>
        <w:trPr>
          <w:trHeight w:val="223"/>
        </w:trPr>
        <w:tc>
          <w:tcPr>
            <w:tcW w:w="5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August 31, 2023</w:t>
            </w:r>
          </w:p>
        </w:tc>
        <w:tc>
          <w:tcPr>
            <w:tcW w:w="1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9"/>
              </w:rPr>
              <w:t>August 31, 2022</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August 31, 2023</w:t>
            </w:r>
          </w:p>
        </w:tc>
        <w:tc>
          <w:tcPr>
            <w:tcW w:w="1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9"/>
              </w:rPr>
              <w:t>August 31, 2022</w:t>
            </w:r>
          </w:p>
        </w:tc>
      </w:tr>
      <w:tr>
        <w:trPr>
          <w:trHeight w:val="223"/>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maintenance and services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1,410</w:t>
            </w: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1,763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1,331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5,027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3,423</w:t>
            </w: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 development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7,548</w:t>
            </w:r>
          </w:p>
        </w:tc>
      </w:tr>
      <w:tr>
        <w:trPr>
          <w:trHeight w:val="230"/>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13,826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13,729</w:t>
            </w:r>
          </w:p>
        </w:tc>
      </w:tr>
      <w:tr>
        <w:trPr>
          <w:trHeight w:val="248"/>
        </w:trPr>
        <w:tc>
          <w:tcPr>
            <w:tcW w:w="5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stock-based compensation</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10,072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30,111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26,110</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Accumulated Other Comprehensive Loss</w:t>
      </w:r>
    </w:p>
    <w:p>
      <w:pPr>
        <w:spacing w:after="0" w:line="256" w:lineRule="exact"/>
        <w:rPr>
          <w:sz w:val="20"/>
          <w:szCs w:val="20"/>
          <w:color w:val="auto"/>
        </w:rPr>
      </w:pPr>
    </w:p>
    <w:p>
      <w:pPr>
        <w:ind w:right="480"/>
        <w:spacing w:after="0" w:line="273" w:lineRule="auto"/>
        <w:rPr>
          <w:sz w:val="20"/>
          <w:szCs w:val="20"/>
          <w:color w:val="auto"/>
        </w:rPr>
      </w:pPr>
      <w:r>
        <w:rPr>
          <w:rFonts w:ascii="Arial" w:cs="Arial" w:eastAsia="Arial" w:hAnsi="Arial"/>
          <w:sz w:val="18"/>
          <w:szCs w:val="18"/>
          <w:color w:val="auto"/>
        </w:rPr>
        <w:t>The following table summarizes the changes in accumulated balances of other comprehensive loss during the nine months ended August 31, 2023 (in thousands):</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December 1, 2022</w:t>
      </w:r>
    </w:p>
    <w:p>
      <w:pPr>
        <w:spacing w:after="0" w:line="23" w:lineRule="exact"/>
        <w:rPr>
          <w:sz w:val="20"/>
          <w:szCs w:val="20"/>
          <w:color w:val="auto"/>
        </w:rPr>
      </w:pPr>
    </w:p>
    <w:p>
      <w:pPr>
        <w:ind w:left="20" w:right="220"/>
        <w:spacing w:after="0" w:line="245" w:lineRule="auto"/>
        <w:rPr>
          <w:sz w:val="20"/>
          <w:szCs w:val="20"/>
          <w:color w:val="auto"/>
        </w:rPr>
      </w:pPr>
      <w:r>
        <w:rPr>
          <w:rFonts w:ascii="Arial" w:cs="Arial" w:eastAsia="Arial" w:hAnsi="Arial"/>
          <w:sz w:val="18"/>
          <w:szCs w:val="18"/>
          <w:color w:val="auto"/>
        </w:rPr>
        <w:t>Other comprehensive income (loss) before reclassifications, net of tax</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August 31, 2023</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1"/>
        </w:trPr>
        <w:tc>
          <w:tcPr>
            <w:tcW w:w="160" w:type="dxa"/>
            <w:vAlign w:val="bottom"/>
          </w:tcPr>
          <w:p>
            <w:pPr>
              <w:spacing w:after="0"/>
              <w:rPr>
                <w:sz w:val="16"/>
                <w:szCs w:val="16"/>
                <w:color w:val="auto"/>
              </w:rPr>
            </w:pPr>
          </w:p>
        </w:tc>
        <w:tc>
          <w:tcPr>
            <w:tcW w:w="1660" w:type="dxa"/>
            <w:vAlign w:val="bottom"/>
            <w:gridSpan w:val="2"/>
          </w:tcPr>
          <w:p>
            <w:pPr>
              <w:jc w:val="center"/>
              <w:ind w:right="260"/>
              <w:spacing w:after="0" w:line="191" w:lineRule="exact"/>
              <w:rPr>
                <w:sz w:val="20"/>
                <w:szCs w:val="20"/>
                <w:color w:val="auto"/>
              </w:rPr>
            </w:pPr>
            <w:r>
              <w:rPr>
                <w:rFonts w:ascii="Arial" w:cs="Arial" w:eastAsia="Arial" w:hAnsi="Arial"/>
                <w:sz w:val="18"/>
                <w:szCs w:val="18"/>
                <w:color w:val="auto"/>
                <w:w w:val="92"/>
              </w:rPr>
              <w:t>Foreign Currency</w:t>
            </w:r>
          </w:p>
        </w:tc>
        <w:tc>
          <w:tcPr>
            <w:tcW w:w="1820" w:type="dxa"/>
            <w:vAlign w:val="bottom"/>
            <w:gridSpan w:val="3"/>
            <w:vMerge w:val="restart"/>
          </w:tcPr>
          <w:p>
            <w:pPr>
              <w:jc w:val="center"/>
              <w:ind w:right="100"/>
              <w:spacing w:after="0"/>
              <w:rPr>
                <w:sz w:val="20"/>
                <w:szCs w:val="20"/>
                <w:color w:val="auto"/>
              </w:rPr>
            </w:pPr>
            <w:r>
              <w:rPr>
                <w:rFonts w:ascii="Arial" w:cs="Arial" w:eastAsia="Arial" w:hAnsi="Arial"/>
                <w:sz w:val="18"/>
                <w:szCs w:val="18"/>
                <w:color w:val="auto"/>
                <w:w w:val="90"/>
              </w:rPr>
              <w:t>Unrealized Losses on</w:t>
            </w:r>
          </w:p>
        </w:tc>
        <w:tc>
          <w:tcPr>
            <w:tcW w:w="120" w:type="dxa"/>
            <w:vAlign w:val="bottom"/>
          </w:tcPr>
          <w:p>
            <w:pPr>
              <w:spacing w:after="0"/>
              <w:rPr>
                <w:sz w:val="16"/>
                <w:szCs w:val="16"/>
                <w:color w:val="auto"/>
              </w:rPr>
            </w:pPr>
          </w:p>
        </w:tc>
        <w:tc>
          <w:tcPr>
            <w:tcW w:w="1720" w:type="dxa"/>
            <w:vAlign w:val="bottom"/>
            <w:gridSpan w:val="2"/>
          </w:tcPr>
          <w:p>
            <w:pPr>
              <w:jc w:val="center"/>
              <w:ind w:right="220"/>
              <w:spacing w:after="0" w:line="191" w:lineRule="exact"/>
              <w:rPr>
                <w:sz w:val="20"/>
                <w:szCs w:val="20"/>
                <w:color w:val="auto"/>
              </w:rPr>
            </w:pPr>
            <w:r>
              <w:rPr>
                <w:rFonts w:ascii="Arial" w:cs="Arial" w:eastAsia="Arial" w:hAnsi="Arial"/>
                <w:sz w:val="18"/>
                <w:szCs w:val="18"/>
                <w:color w:val="auto"/>
                <w:w w:val="91"/>
              </w:rPr>
              <w:t>Unrealized Gain</w:t>
            </w:r>
          </w:p>
        </w:tc>
        <w:tc>
          <w:tcPr>
            <w:tcW w:w="100" w:type="dxa"/>
            <w:vAlign w:val="bottom"/>
          </w:tcPr>
          <w:p>
            <w:pPr>
              <w:spacing w:after="0"/>
              <w:rPr>
                <w:sz w:val="16"/>
                <w:szCs w:val="16"/>
                <w:color w:val="auto"/>
              </w:rPr>
            </w:pPr>
          </w:p>
        </w:tc>
        <w:tc>
          <w:tcPr>
            <w:tcW w:w="1620" w:type="dxa"/>
            <w:vAlign w:val="bottom"/>
            <w:vMerge w:val="restart"/>
          </w:tcPr>
          <w:p>
            <w:pPr>
              <w:jc w:val="right"/>
              <w:ind w:right="70"/>
              <w:spacing w:after="0"/>
              <w:rPr>
                <w:sz w:val="20"/>
                <w:szCs w:val="20"/>
                <w:color w:val="auto"/>
              </w:rPr>
            </w:pPr>
            <w:r>
              <w:rPr>
                <w:rFonts w:ascii="Arial" w:cs="Arial" w:eastAsia="Arial" w:hAnsi="Arial"/>
                <w:sz w:val="18"/>
                <w:szCs w:val="18"/>
                <w:color w:val="auto"/>
                <w:w w:val="93"/>
              </w:rPr>
              <w:t>Accumulated Other</w:t>
            </w: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1660" w:type="dxa"/>
            <w:vAlign w:val="bottom"/>
            <w:gridSpan w:val="2"/>
          </w:tcPr>
          <w:p>
            <w:pPr>
              <w:jc w:val="center"/>
              <w:ind w:right="260"/>
              <w:spacing w:after="0" w:line="176" w:lineRule="exact"/>
              <w:rPr>
                <w:sz w:val="20"/>
                <w:szCs w:val="20"/>
                <w:color w:val="auto"/>
              </w:rPr>
            </w:pPr>
            <w:r>
              <w:rPr>
                <w:rFonts w:ascii="Arial" w:cs="Arial" w:eastAsia="Arial" w:hAnsi="Arial"/>
                <w:sz w:val="18"/>
                <w:szCs w:val="18"/>
                <w:color w:val="auto"/>
                <w:w w:val="89"/>
              </w:rPr>
              <w:t>Translation</w:t>
            </w:r>
          </w:p>
        </w:tc>
        <w:tc>
          <w:tcPr>
            <w:tcW w:w="182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2"/>
          </w:tcPr>
          <w:p>
            <w:pPr>
              <w:jc w:val="center"/>
              <w:ind w:right="220"/>
              <w:spacing w:after="0" w:line="176" w:lineRule="exact"/>
              <w:rPr>
                <w:sz w:val="20"/>
                <w:szCs w:val="20"/>
                <w:color w:val="auto"/>
              </w:rPr>
            </w:pPr>
            <w:r>
              <w:rPr>
                <w:rFonts w:ascii="Arial" w:cs="Arial" w:eastAsia="Arial" w:hAnsi="Arial"/>
                <w:sz w:val="18"/>
                <w:szCs w:val="18"/>
                <w:color w:val="auto"/>
                <w:w w:val="90"/>
              </w:rPr>
              <w:t>(Losses) on Hedging</w:t>
            </w:r>
          </w:p>
        </w:tc>
        <w:tc>
          <w:tcPr>
            <w:tcW w:w="100" w:type="dxa"/>
            <w:vAlign w:val="bottom"/>
          </w:tcPr>
          <w:p>
            <w:pPr>
              <w:spacing w:after="0"/>
              <w:rPr>
                <w:sz w:val="15"/>
                <w:szCs w:val="15"/>
                <w:color w:val="auto"/>
              </w:rPr>
            </w:pPr>
          </w:p>
        </w:tc>
        <w:tc>
          <w:tcPr>
            <w:tcW w:w="1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Adjustment</w:t>
            </w:r>
          </w:p>
        </w:tc>
        <w:tc>
          <w:tcPr>
            <w:tcW w:w="280" w:type="dxa"/>
            <w:vAlign w:val="bottom"/>
          </w:tcPr>
          <w:p>
            <w:pPr>
              <w:spacing w:after="0"/>
              <w:rPr>
                <w:sz w:val="19"/>
                <w:szCs w:val="19"/>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8"/>
                <w:szCs w:val="18"/>
                <w:color w:val="auto"/>
                <w:w w:val="90"/>
              </w:rPr>
              <w:t>Investments</w:t>
            </w:r>
          </w:p>
        </w:tc>
        <w:tc>
          <w:tcPr>
            <w:tcW w:w="120" w:type="dxa"/>
            <w:vAlign w:val="bottom"/>
          </w:tcPr>
          <w:p>
            <w:pPr>
              <w:spacing w:after="0"/>
              <w:rPr>
                <w:sz w:val="19"/>
                <w:szCs w:val="19"/>
                <w:color w:val="auto"/>
              </w:rPr>
            </w:pPr>
          </w:p>
        </w:tc>
        <w:tc>
          <w:tcPr>
            <w:tcW w:w="1720" w:type="dxa"/>
            <w:vAlign w:val="bottom"/>
            <w:gridSpan w:val="2"/>
          </w:tcPr>
          <w:p>
            <w:pPr>
              <w:jc w:val="center"/>
              <w:ind w:right="220"/>
              <w:spacing w:after="0"/>
              <w:rPr>
                <w:sz w:val="20"/>
                <w:szCs w:val="20"/>
                <w:color w:val="auto"/>
              </w:rPr>
            </w:pPr>
            <w:r>
              <w:rPr>
                <w:rFonts w:ascii="Arial" w:cs="Arial" w:eastAsia="Arial" w:hAnsi="Arial"/>
                <w:sz w:val="18"/>
                <w:szCs w:val="18"/>
                <w:color w:val="auto"/>
              </w:rPr>
              <w:t>Activity</w:t>
            </w:r>
          </w:p>
        </w:tc>
        <w:tc>
          <w:tcPr>
            <w:tcW w:w="100" w:type="dxa"/>
            <w:vAlign w:val="bottom"/>
          </w:tcPr>
          <w:p>
            <w:pPr>
              <w:spacing w:after="0"/>
              <w:rPr>
                <w:sz w:val="19"/>
                <w:szCs w:val="19"/>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w w:val="88"/>
              </w:rPr>
              <w:t>Comprehensive Loss</w:t>
            </w:r>
          </w:p>
        </w:tc>
        <w:tc>
          <w:tcPr>
            <w:tcW w:w="0" w:type="dxa"/>
            <w:vAlign w:val="bottom"/>
          </w:tcPr>
          <w:p>
            <w:pPr>
              <w:spacing w:after="0"/>
              <w:rPr>
                <w:sz w:val="1"/>
                <w:szCs w:val="1"/>
                <w:color w:val="auto"/>
              </w:rPr>
            </w:pPr>
          </w:p>
        </w:tc>
      </w:tr>
      <w:tr>
        <w:trPr>
          <w:trHeight w:val="224"/>
        </w:trPr>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(38,523)</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center"/>
              <w:ind w:left="1010"/>
              <w:spacing w:after="0"/>
              <w:rPr>
                <w:sz w:val="20"/>
                <w:szCs w:val="20"/>
                <w:color w:val="auto"/>
              </w:rPr>
            </w:pPr>
            <w:r>
              <w:rPr>
                <w:rFonts w:ascii="Arial" w:cs="Arial" w:eastAsia="Arial" w:hAnsi="Arial"/>
                <w:sz w:val="18"/>
                <w:szCs w:val="18"/>
                <w:color w:val="auto"/>
                <w:w w:val="93"/>
              </w:rPr>
              <w:t>(61)</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center"/>
              <w:ind w:left="970"/>
              <w:spacing w:after="0"/>
              <w:rPr>
                <w:sz w:val="20"/>
                <w:szCs w:val="20"/>
                <w:color w:val="auto"/>
              </w:rPr>
            </w:pPr>
            <w:r>
              <w:rPr>
                <w:rFonts w:ascii="Arial" w:cs="Arial" w:eastAsia="Arial" w:hAnsi="Arial"/>
                <w:sz w:val="18"/>
                <w:szCs w:val="18"/>
                <w:color w:val="auto"/>
                <w:w w:val="93"/>
              </w:rPr>
              <w:t>3,349</w:t>
            </w:r>
          </w:p>
        </w:tc>
        <w:tc>
          <w:tcPr>
            <w:tcW w:w="1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(35,235)</w:t>
            </w:r>
          </w:p>
        </w:tc>
        <w:tc>
          <w:tcPr>
            <w:tcW w:w="0" w:type="dxa"/>
            <w:vAlign w:val="bottom"/>
          </w:tcPr>
          <w:p>
            <w:pPr>
              <w:spacing w:after="0"/>
              <w:rPr>
                <w:sz w:val="1"/>
                <w:szCs w:val="1"/>
                <w:color w:val="auto"/>
              </w:rPr>
            </w:pPr>
          </w:p>
        </w:tc>
      </w:tr>
      <w:tr>
        <w:trPr>
          <w:trHeight w:val="418"/>
        </w:trPr>
        <w:tc>
          <w:tcPr>
            <w:tcW w:w="16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5,124</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gridSpan w:val="2"/>
          </w:tcPr>
          <w:p>
            <w:pPr>
              <w:jc w:val="center"/>
              <w:ind w:left="91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4"/>
                <w:szCs w:val="24"/>
                <w:color w:val="auto"/>
              </w:rPr>
            </w:pPr>
          </w:p>
        </w:tc>
        <w:tc>
          <w:tcPr>
            <w:tcW w:w="1600" w:type="dxa"/>
            <w:vAlign w:val="bottom"/>
          </w:tcPr>
          <w:p>
            <w:pPr>
              <w:jc w:val="center"/>
              <w:ind w:left="950"/>
              <w:spacing w:after="0"/>
              <w:rPr>
                <w:sz w:val="20"/>
                <w:szCs w:val="20"/>
                <w:color w:val="auto"/>
              </w:rPr>
            </w:pPr>
            <w:r>
              <w:rPr>
                <w:rFonts w:ascii="Arial" w:cs="Arial" w:eastAsia="Arial" w:hAnsi="Arial"/>
                <w:sz w:val="18"/>
                <w:szCs w:val="18"/>
                <w:color w:val="auto"/>
                <w:w w:val="91"/>
              </w:rPr>
              <w:t>(1,476)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3,648</w:t>
            </w:r>
          </w:p>
        </w:tc>
        <w:tc>
          <w:tcPr>
            <w:tcW w:w="0" w:type="dxa"/>
            <w:vAlign w:val="bottom"/>
          </w:tcPr>
          <w:p>
            <w:pPr>
              <w:spacing w:after="0"/>
              <w:rPr>
                <w:sz w:val="1"/>
                <w:szCs w:val="1"/>
                <w:color w:val="auto"/>
              </w:rPr>
            </w:pPr>
          </w:p>
        </w:tc>
      </w:tr>
      <w:tr>
        <w:trPr>
          <w:trHeight w:val="223"/>
        </w:trPr>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(33,399)</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center"/>
              <w:ind w:left="1010"/>
              <w:spacing w:after="0"/>
              <w:rPr>
                <w:sz w:val="20"/>
                <w:szCs w:val="20"/>
                <w:color w:val="auto"/>
              </w:rPr>
            </w:pPr>
            <w:r>
              <w:rPr>
                <w:rFonts w:ascii="Arial" w:cs="Arial" w:eastAsia="Arial" w:hAnsi="Arial"/>
                <w:sz w:val="18"/>
                <w:szCs w:val="18"/>
                <w:color w:val="auto"/>
                <w:w w:val="93"/>
              </w:rPr>
              <w:t>(61)</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center"/>
              <w:ind w:left="970"/>
              <w:spacing w:after="0"/>
              <w:rPr>
                <w:sz w:val="20"/>
                <w:szCs w:val="20"/>
                <w:color w:val="auto"/>
              </w:rPr>
            </w:pPr>
            <w:r>
              <w:rPr>
                <w:rFonts w:ascii="Arial" w:cs="Arial" w:eastAsia="Arial" w:hAnsi="Arial"/>
                <w:sz w:val="18"/>
                <w:szCs w:val="18"/>
                <w:color w:val="auto"/>
                <w:w w:val="93"/>
              </w:rPr>
              <w:t>1,873</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(31,587)</w:t>
            </w:r>
          </w:p>
        </w:tc>
        <w:tc>
          <w:tcPr>
            <w:tcW w:w="0" w:type="dxa"/>
            <w:vAlign w:val="bottom"/>
          </w:tcPr>
          <w:p>
            <w:pPr>
              <w:spacing w:after="0"/>
              <w:rPr>
                <w:sz w:val="1"/>
                <w:szCs w:val="1"/>
                <w:color w:val="auto"/>
              </w:rPr>
            </w:pPr>
          </w:p>
        </w:tc>
      </w:tr>
      <w:tr>
        <w:trPr>
          <w:trHeight w:val="21"/>
        </w:trPr>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-607695</wp:posOffset>
            </wp:positionV>
            <wp:extent cx="713232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-187960</wp:posOffset>
            </wp:positionV>
            <wp:extent cx="71323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20" w:space="720"/>
            <w:col w:w="7200"/>
          </w:cols>
          <w:pgMar w:left="320" w:top="895" w:right="339" w:bottom="1440" w:gutter="0" w:footer="0" w:header="0"/>
          <w:type w:val="continuous"/>
        </w:sectPr>
      </w:pPr>
    </w:p>
    <w:p>
      <w:pPr>
        <w:spacing w:after="0" w:line="12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tax effect on accumulated unrealized gains (losses) on hedging activity and unrealized losses on investments was a tax provision of $0.7 million and $1.1 million as of August 31, 2023 and November 30, 2022,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Revenue Recognition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Timing of Revenue Recognition</w:t>
      </w:r>
    </w:p>
    <w:p>
      <w:pPr>
        <w:spacing w:after="0" w:line="256"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Our revenues are derived from licensing our products, and from related services, which consist of maintenance, hosting services, and consulting and education. Information relating to revenue from external customers by revenue type is as follows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40" w:type="dxa"/>
            <w:vAlign w:val="bottom"/>
            <w:gridSpan w:val="5"/>
          </w:tcPr>
          <w:p>
            <w:pPr>
              <w:ind w:left="600"/>
              <w:spacing w:after="0"/>
              <w:rPr>
                <w:sz w:val="20"/>
                <w:szCs w:val="20"/>
                <w:color w:val="auto"/>
              </w:rPr>
            </w:pPr>
            <w:r>
              <w:rPr>
                <w:rFonts w:ascii="Arial" w:cs="Arial" w:eastAsia="Arial" w:hAnsi="Arial"/>
                <w:sz w:val="18"/>
                <w:szCs w:val="18"/>
                <w:color w:val="auto"/>
              </w:rPr>
              <w:t>Three Months Ended</w:t>
            </w:r>
          </w:p>
        </w:tc>
        <w:tc>
          <w:tcPr>
            <w:tcW w:w="120" w:type="dxa"/>
            <w:vAlign w:val="bottom"/>
          </w:tcPr>
          <w:p>
            <w:pPr>
              <w:spacing w:after="0"/>
              <w:rPr>
                <w:sz w:val="20"/>
                <w:szCs w:val="20"/>
                <w:color w:val="auto"/>
              </w:rPr>
            </w:pPr>
          </w:p>
        </w:tc>
        <w:tc>
          <w:tcPr>
            <w:tcW w:w="2860" w:type="dxa"/>
            <w:vAlign w:val="bottom"/>
            <w:gridSpan w:val="4"/>
          </w:tcPr>
          <w:p>
            <w:pPr>
              <w:jc w:val="right"/>
              <w:ind w:right="670"/>
              <w:spacing w:after="0"/>
              <w:rPr>
                <w:sz w:val="20"/>
                <w:szCs w:val="20"/>
                <w:color w:val="auto"/>
              </w:rPr>
            </w:pPr>
            <w:r>
              <w:rPr>
                <w:rFonts w:ascii="Arial" w:cs="Arial" w:eastAsia="Arial" w:hAnsi="Arial"/>
                <w:sz w:val="18"/>
                <w:szCs w:val="18"/>
                <w:color w:val="auto"/>
              </w:rPr>
              <w:t>Nine Months Ended</w:t>
            </w:r>
          </w:p>
        </w:tc>
      </w:tr>
      <w:tr>
        <w:trPr>
          <w:trHeight w:val="223"/>
        </w:trPr>
        <w:tc>
          <w:tcPr>
            <w:tcW w:w="52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August 31, 2023</w:t>
            </w:r>
          </w:p>
        </w:tc>
        <w:tc>
          <w:tcPr>
            <w:tcW w:w="1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9"/>
              </w:rPr>
              <w:t>August 31, 2022</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August 31, 2023</w:t>
            </w:r>
          </w:p>
        </w:tc>
        <w:tc>
          <w:tcPr>
            <w:tcW w:w="1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9"/>
              </w:rPr>
              <w:t>August 31, 2022</w:t>
            </w:r>
          </w:p>
        </w:tc>
      </w:tr>
      <w:tr>
        <w:trPr>
          <w:trHeight w:val="210"/>
        </w:trPr>
        <w:tc>
          <w:tcPr>
            <w:tcW w:w="5200" w:type="dxa"/>
            <w:vAlign w:val="bottom"/>
          </w:tcPr>
          <w:p>
            <w:pPr>
              <w:ind w:left="20"/>
              <w:spacing w:after="0"/>
              <w:rPr>
                <w:sz w:val="20"/>
                <w:szCs w:val="20"/>
                <w:color w:val="auto"/>
              </w:rPr>
            </w:pPr>
            <w:r>
              <w:rPr>
                <w:rFonts w:ascii="Arial" w:cs="Arial" w:eastAsia="Arial" w:hAnsi="Arial"/>
                <w:sz w:val="18"/>
                <w:szCs w:val="18"/>
                <w:color w:val="auto"/>
              </w:rPr>
              <w:t>Performance obligations transferred at a point in time:</w:t>
            </w:r>
          </w:p>
        </w:tc>
        <w:tc>
          <w:tcPr>
            <w:tcW w:w="1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r>
      <w:tr>
        <w:trPr>
          <w:trHeight w:val="230"/>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Software licenses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50,544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47,618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164,519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135,182</w:t>
            </w: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Performance obligations transferred over time:</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Maintenance</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105,164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91,043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299,917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272,337</w:t>
            </w:r>
          </w:p>
        </w:tc>
      </w:tr>
      <w:tr>
        <w:trPr>
          <w:trHeight w:val="230"/>
        </w:trPr>
        <w:tc>
          <w:tcPr>
            <w:tcW w:w="52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Services</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19,284</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12,556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53,033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37,367</w:t>
            </w:r>
          </w:p>
        </w:tc>
      </w:tr>
      <w:tr>
        <w:trPr>
          <w:trHeight w:val="248"/>
        </w:trPr>
        <w:tc>
          <w:tcPr>
            <w:tcW w:w="520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Total revenue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174,992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151,217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517,469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444,886</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Geographic Revenue</w:t>
      </w:r>
    </w:p>
    <w:p>
      <w:pPr>
        <w:spacing w:after="0" w:line="256"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the following table, revenue attributed to North America includes sales to customers in the U.S. and sales to certain multinational organizations. Revenue from EMEA, Latin America and the Asia Pacific region includes sales to customers in each region plus sales from the U.S. to distributors in these regions. Information relating to revenue from external customers from different geographical areas is as follows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60" w:type="dxa"/>
            <w:vAlign w:val="bottom"/>
            <w:gridSpan w:val="5"/>
          </w:tcPr>
          <w:p>
            <w:pPr>
              <w:ind w:left="620"/>
              <w:spacing w:after="0"/>
              <w:rPr>
                <w:sz w:val="20"/>
                <w:szCs w:val="20"/>
                <w:color w:val="auto"/>
              </w:rPr>
            </w:pPr>
            <w:r>
              <w:rPr>
                <w:rFonts w:ascii="Arial" w:cs="Arial" w:eastAsia="Arial" w:hAnsi="Arial"/>
                <w:sz w:val="18"/>
                <w:szCs w:val="18"/>
                <w:color w:val="auto"/>
              </w:rPr>
              <w:t>Three Months Ended</w:t>
            </w:r>
          </w:p>
        </w:tc>
        <w:tc>
          <w:tcPr>
            <w:tcW w:w="120" w:type="dxa"/>
            <w:vAlign w:val="bottom"/>
          </w:tcPr>
          <w:p>
            <w:pPr>
              <w:spacing w:after="0"/>
              <w:rPr>
                <w:sz w:val="20"/>
                <w:szCs w:val="20"/>
                <w:color w:val="auto"/>
              </w:rPr>
            </w:pPr>
          </w:p>
        </w:tc>
        <w:tc>
          <w:tcPr>
            <w:tcW w:w="2860" w:type="dxa"/>
            <w:vAlign w:val="bottom"/>
            <w:gridSpan w:val="4"/>
          </w:tcPr>
          <w:p>
            <w:pPr>
              <w:jc w:val="right"/>
              <w:ind w:right="670"/>
              <w:spacing w:after="0"/>
              <w:rPr>
                <w:sz w:val="20"/>
                <w:szCs w:val="20"/>
                <w:color w:val="auto"/>
              </w:rPr>
            </w:pPr>
            <w:r>
              <w:rPr>
                <w:rFonts w:ascii="Arial" w:cs="Arial" w:eastAsia="Arial" w:hAnsi="Arial"/>
                <w:sz w:val="18"/>
                <w:szCs w:val="18"/>
                <w:color w:val="auto"/>
              </w:rPr>
              <w:t>Nine Months Ended</w:t>
            </w:r>
          </w:p>
        </w:tc>
      </w:tr>
      <w:tr>
        <w:trPr>
          <w:trHeight w:val="223"/>
        </w:trPr>
        <w:tc>
          <w:tcPr>
            <w:tcW w:w="52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August 31, 2023</w:t>
            </w:r>
          </w:p>
        </w:tc>
        <w:tc>
          <w:tcPr>
            <w:tcW w:w="1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9"/>
              </w:rPr>
              <w:t>August 31, 2022</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August 31, 2023</w:t>
            </w:r>
          </w:p>
        </w:tc>
        <w:tc>
          <w:tcPr>
            <w:tcW w:w="1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9"/>
              </w:rPr>
              <w:t>August 31, 2022</w:t>
            </w:r>
          </w:p>
        </w:tc>
      </w:tr>
      <w:tr>
        <w:trPr>
          <w:trHeight w:val="223"/>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101,923</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84,826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306,483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248,313</w:t>
            </w: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EMEA</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56,779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52,670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166,369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156,006</w:t>
            </w: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Latin America</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13,138</w:t>
            </w:r>
          </w:p>
        </w:tc>
      </w:tr>
      <w:tr>
        <w:trPr>
          <w:trHeight w:val="229"/>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Asia Pacific</w:t>
            </w: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9,972</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29,320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27,429</w:t>
            </w: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174,992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151,217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517,469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444,886</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No single customer, partner, or country outside the U.S. has accounted for more than 10% of our total revenue for the three and nine months ended August 31, 2023 and August 31, 2022.</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520" w:type="dxa"/>
            <w:vAlign w:val="bottom"/>
          </w:tcPr>
          <w:p>
            <w:pPr>
              <w:spacing w:after="0"/>
              <w:rPr>
                <w:sz w:val="20"/>
                <w:szCs w:val="20"/>
                <w:color w:val="auto"/>
              </w:rPr>
            </w:pPr>
            <w:r>
              <w:rPr>
                <w:rFonts w:ascii="Arial" w:cs="Arial" w:eastAsia="Arial" w:hAnsi="Arial"/>
                <w:sz w:val="18"/>
                <w:szCs w:val="18"/>
                <w:b w:val="1"/>
                <w:bCs w:val="1"/>
                <w:color w:val="auto"/>
              </w:rPr>
              <w:t>Contract Balances</w:t>
            </w:r>
          </w:p>
        </w:tc>
        <w:tc>
          <w:tcPr>
            <w:tcW w:w="6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59"/>
        </w:trPr>
        <w:tc>
          <w:tcPr>
            <w:tcW w:w="9520" w:type="dxa"/>
            <w:vAlign w:val="bottom"/>
          </w:tcPr>
          <w:p>
            <w:pPr>
              <w:spacing w:after="0"/>
              <w:rPr>
                <w:sz w:val="20"/>
                <w:szCs w:val="20"/>
                <w:color w:val="auto"/>
              </w:rPr>
            </w:pPr>
            <w:r>
              <w:rPr>
                <w:rFonts w:ascii="Arial" w:cs="Arial" w:eastAsia="Arial" w:hAnsi="Arial"/>
                <w:sz w:val="18"/>
                <w:szCs w:val="18"/>
                <w:b w:val="1"/>
                <w:bCs w:val="1"/>
                <w:i w:val="1"/>
                <w:iCs w:val="1"/>
                <w:color w:val="auto"/>
              </w:rPr>
              <w:t>Unbilled Receivables and Contract Assets</w:t>
            </w: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59"/>
        </w:trPr>
        <w:tc>
          <w:tcPr>
            <w:tcW w:w="9520" w:type="dxa"/>
            <w:vAlign w:val="bottom"/>
          </w:tcPr>
          <w:p>
            <w:pPr>
              <w:spacing w:after="0"/>
              <w:rPr>
                <w:sz w:val="20"/>
                <w:szCs w:val="20"/>
                <w:color w:val="auto"/>
              </w:rPr>
            </w:pPr>
            <w:r>
              <w:rPr>
                <w:rFonts w:ascii="Arial" w:cs="Arial" w:eastAsia="Arial" w:hAnsi="Arial"/>
                <w:sz w:val="18"/>
                <w:szCs w:val="18"/>
                <w:color w:val="auto"/>
              </w:rPr>
              <w:t>As of August 31, 2023, billing of our long-term unbilled receivables is expected to occur as follows (in thousands):</w:t>
            </w: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08"/>
        </w:trPr>
        <w:tc>
          <w:tcPr>
            <w:tcW w:w="9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100" w:type="dxa"/>
            <w:vAlign w:val="bottom"/>
          </w:tcPr>
          <w:p>
            <w:pPr>
              <w:spacing w:after="0"/>
              <w:rPr>
                <w:sz w:val="9"/>
                <w:szCs w:val="9"/>
                <w:color w:val="auto"/>
              </w:rPr>
            </w:pPr>
          </w:p>
        </w:tc>
      </w:tr>
      <w:tr>
        <w:trPr>
          <w:trHeight w:val="229"/>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7,491</w:t>
            </w:r>
          </w:p>
        </w:tc>
      </w:tr>
      <w:tr>
        <w:trPr>
          <w:trHeight w:val="230"/>
        </w:trPr>
        <w:tc>
          <w:tcPr>
            <w:tcW w:w="9520" w:type="dxa"/>
            <w:vAlign w:val="bottom"/>
          </w:tcPr>
          <w:p>
            <w:pPr>
              <w:ind w:left="20"/>
              <w:spacing w:after="0"/>
              <w:rPr>
                <w:sz w:val="20"/>
                <w:szCs w:val="20"/>
                <w:color w:val="auto"/>
              </w:rPr>
            </w:pPr>
            <w:r>
              <w:rPr>
                <w:rFonts w:ascii="Arial" w:cs="Arial" w:eastAsia="Arial" w:hAnsi="Arial"/>
                <w:sz w:val="18"/>
                <w:szCs w:val="18"/>
                <w:color w:val="auto"/>
              </w:rPr>
              <w:t>2025</w:t>
            </w:r>
          </w:p>
        </w:tc>
        <w:tc>
          <w:tcPr>
            <w:tcW w:w="6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16,058</w:t>
            </w:r>
          </w:p>
        </w:tc>
      </w:tr>
      <w:tr>
        <w:trPr>
          <w:trHeight w:val="229"/>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9,569</w:t>
            </w:r>
          </w:p>
        </w:tc>
      </w:tr>
      <w:tr>
        <w:trPr>
          <w:trHeight w:val="230"/>
        </w:trPr>
        <w:tc>
          <w:tcPr>
            <w:tcW w:w="9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2027</w:t>
            </w:r>
          </w:p>
        </w:tc>
        <w:tc>
          <w:tcPr>
            <w:tcW w:w="6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48"/>
        </w:trPr>
        <w:tc>
          <w:tcPr>
            <w:tcW w:w="9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33,121</w:t>
            </w:r>
          </w:p>
        </w:tc>
      </w:tr>
      <w:tr>
        <w:trPr>
          <w:trHeight w:val="20"/>
        </w:trPr>
        <w:tc>
          <w:tcPr>
            <w:tcW w:w="95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Our contract assets and liabilities are reported in a net position on a contract-by-contract basis at the end of each reporting period. We did not have any net contract assets as of August 31, 2023 or November 30, 2022.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Revenue</w:t>
      </w:r>
    </w:p>
    <w:p>
      <w:pPr>
        <w:spacing w:after="0" w:line="25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Deferred revenue expected to be recognized as revenue more than one year subsequent to the balance sheet date is included in long-term liabilities on the consolidated balance sheets. Our deferred revenue balance is primarily made up of deferred maintenance.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520" w:type="dxa"/>
            <w:vAlign w:val="bottom"/>
          </w:tcPr>
          <w:p>
            <w:pPr>
              <w:spacing w:after="0"/>
              <w:rPr>
                <w:sz w:val="20"/>
                <w:szCs w:val="20"/>
                <w:color w:val="auto"/>
              </w:rPr>
            </w:pPr>
            <w:r>
              <w:rPr>
                <w:rFonts w:ascii="Arial" w:cs="Arial" w:eastAsia="Arial" w:hAnsi="Arial"/>
                <w:sz w:val="18"/>
                <w:szCs w:val="18"/>
                <w:color w:val="auto"/>
              </w:rPr>
              <w:t>As of August 31, 2023, the changes in net deferred revenue were as follows (in thousands):</w:t>
            </w:r>
          </w:p>
        </w:tc>
        <w:tc>
          <w:tcPr>
            <w:tcW w:w="5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121"/>
        </w:trPr>
        <w:tc>
          <w:tcPr>
            <w:tcW w:w="95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180" w:type="dxa"/>
            <w:vAlign w:val="bottom"/>
          </w:tcPr>
          <w:p>
            <w:pPr>
              <w:spacing w:after="0"/>
              <w:rPr>
                <w:sz w:val="10"/>
                <w:szCs w:val="10"/>
                <w:color w:val="auto"/>
              </w:rPr>
            </w:pPr>
          </w:p>
        </w:tc>
      </w:tr>
      <w:tr>
        <w:trPr>
          <w:trHeight w:val="230"/>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December 1, 2022</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89"/>
              </w:rPr>
              <w:t>282,440</w:t>
            </w:r>
          </w:p>
        </w:tc>
      </w:tr>
      <w:tr>
        <w:trPr>
          <w:trHeight w:val="230"/>
        </w:trPr>
        <w:tc>
          <w:tcPr>
            <w:tcW w:w="9520" w:type="dxa"/>
            <w:vAlign w:val="bottom"/>
          </w:tcPr>
          <w:p>
            <w:pPr>
              <w:ind w:left="20"/>
              <w:spacing w:after="0"/>
              <w:rPr>
                <w:sz w:val="20"/>
                <w:szCs w:val="20"/>
                <w:color w:val="auto"/>
              </w:rPr>
            </w:pPr>
            <w:r>
              <w:rPr>
                <w:rFonts w:ascii="Arial" w:cs="Arial" w:eastAsia="Arial" w:hAnsi="Arial"/>
                <w:sz w:val="18"/>
                <w:szCs w:val="18"/>
                <w:color w:val="auto"/>
              </w:rPr>
              <w:t>Billings and other</w:t>
            </w:r>
          </w:p>
        </w:tc>
        <w:tc>
          <w:tcPr>
            <w:tcW w:w="540" w:type="dxa"/>
            <w:vAlign w:val="bottom"/>
          </w:tcPr>
          <w:p>
            <w:pPr>
              <w:spacing w:after="0"/>
              <w:rPr>
                <w:sz w:val="19"/>
                <w:szCs w:val="19"/>
                <w:color w:val="auto"/>
              </w:rPr>
            </w:pPr>
          </w:p>
        </w:tc>
        <w:tc>
          <w:tcPr>
            <w:tcW w:w="1180" w:type="dxa"/>
            <w:vAlign w:val="bottom"/>
          </w:tcPr>
          <w:p>
            <w:pPr>
              <w:jc w:val="center"/>
              <w:ind w:left="350"/>
              <w:spacing w:after="0"/>
              <w:rPr>
                <w:sz w:val="20"/>
                <w:szCs w:val="20"/>
                <w:color w:val="auto"/>
              </w:rPr>
            </w:pPr>
            <w:r>
              <w:rPr>
                <w:rFonts w:ascii="Arial" w:cs="Arial" w:eastAsia="Arial" w:hAnsi="Arial"/>
                <w:sz w:val="18"/>
                <w:szCs w:val="18"/>
                <w:color w:val="auto"/>
                <w:w w:val="89"/>
              </w:rPr>
              <w:t>514,797</w:t>
            </w:r>
          </w:p>
        </w:tc>
      </w:tr>
      <w:tr>
        <w:trPr>
          <w:trHeight w:val="229"/>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recognized</w:t>
            </w:r>
          </w:p>
        </w:tc>
        <w:tc>
          <w:tcPr>
            <w:tcW w:w="5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center"/>
              <w:ind w:left="330"/>
              <w:spacing w:after="0"/>
              <w:rPr>
                <w:sz w:val="20"/>
                <w:szCs w:val="20"/>
                <w:color w:val="auto"/>
              </w:rPr>
            </w:pPr>
            <w:r>
              <w:rPr>
                <w:rFonts w:ascii="Arial" w:cs="Arial" w:eastAsia="Arial" w:hAnsi="Arial"/>
                <w:sz w:val="18"/>
                <w:szCs w:val="18"/>
                <w:color w:val="auto"/>
                <w:w w:val="93"/>
              </w:rPr>
              <w:t>(517,469)</w:t>
            </w:r>
          </w:p>
        </w:tc>
      </w:tr>
      <w:tr>
        <w:trPr>
          <w:trHeight w:val="223"/>
        </w:trPr>
        <w:tc>
          <w:tcPr>
            <w:tcW w:w="9520" w:type="dxa"/>
            <w:vAlign w:val="bottom"/>
          </w:tcPr>
          <w:p>
            <w:pPr>
              <w:ind w:left="20"/>
              <w:spacing w:after="0"/>
              <w:rPr>
                <w:sz w:val="20"/>
                <w:szCs w:val="20"/>
                <w:color w:val="auto"/>
              </w:rPr>
            </w:pPr>
            <w:r>
              <w:rPr>
                <w:rFonts w:ascii="Arial" w:cs="Arial" w:eastAsia="Arial" w:hAnsi="Arial"/>
                <w:sz w:val="18"/>
                <w:szCs w:val="18"/>
                <w:color w:val="auto"/>
              </w:rPr>
              <w:t>Balance, August 31, 2023</w:t>
            </w: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color w:val="auto"/>
                <w:w w:val="89"/>
              </w:rPr>
              <w:t>279,768</w:t>
            </w:r>
          </w:p>
        </w:tc>
      </w:tr>
      <w:tr>
        <w:trPr>
          <w:trHeight w:val="21"/>
        </w:trPr>
        <w:tc>
          <w:tcPr>
            <w:tcW w:w="95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As of August 31, 2023, transaction price allocated to remaining performance obligations was $288 million. We expect to recognize approximately 77% of the revenue within the next year and the remainder thereafter.</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Deferred Contract Costs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Certain of our sales incentive programs meet the requirements to be capitalized. Depending upon the sales incentive program and the related revenue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arrangement, such capitalized costs are amortized over the longer of (i) the product life, which is generally three to five years; or (ii) the term of the related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revenue contract. We determined that a three to five year product life represents the period of benefit that we receive from these incremental costs based 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both qualitative and quantitative factors, which include customer contracts, industry norms, and product upgrades. Total deferred contract costs were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$8.0 million and $8.8 million as of August 31, 2023 and November 30, 2022, respectively, and are included in other current assets and other assets on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condensed consolidated balance sheets. Amortization of deferred contract costs is included in sales and marketing expense on our condensed consolidated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statement of operations and was minimal in all periods presented.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Restructuring Charges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activity for our restructuring actions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gridSpan w:val="2"/>
            <w:vMerge w:val="restart"/>
          </w:tcPr>
          <w:p>
            <w:pPr>
              <w:jc w:val="center"/>
              <w:ind w:right="220"/>
              <w:spacing w:after="0"/>
              <w:rPr>
                <w:sz w:val="20"/>
                <w:szCs w:val="20"/>
                <w:color w:val="auto"/>
              </w:rPr>
            </w:pPr>
            <w:r>
              <w:rPr>
                <w:rFonts w:ascii="Arial" w:cs="Arial" w:eastAsia="Arial" w:hAnsi="Arial"/>
                <w:sz w:val="18"/>
                <w:szCs w:val="18"/>
                <w:color w:val="auto"/>
                <w:w w:val="90"/>
              </w:rPr>
              <w:t>Excess Facilities and</w:t>
            </w:r>
          </w:p>
        </w:tc>
        <w:tc>
          <w:tcPr>
            <w:tcW w:w="180" w:type="dxa"/>
            <w:vAlign w:val="bottom"/>
          </w:tcPr>
          <w:p>
            <w:pPr>
              <w:spacing w:after="0"/>
              <w:rPr>
                <w:sz w:val="17"/>
                <w:szCs w:val="17"/>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Employee</w:t>
            </w:r>
          </w:p>
        </w:tc>
        <w:tc>
          <w:tcPr>
            <w:tcW w:w="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gridSpan w:val="2"/>
          </w:tcPr>
          <w:p>
            <w:pPr>
              <w:jc w:val="center"/>
              <w:ind w:right="300"/>
              <w:spacing w:after="0" w:line="176" w:lineRule="exact"/>
              <w:rPr>
                <w:sz w:val="20"/>
                <w:szCs w:val="20"/>
                <w:color w:val="auto"/>
              </w:rPr>
            </w:pPr>
            <w:r>
              <w:rPr>
                <w:rFonts w:ascii="Arial" w:cs="Arial" w:eastAsia="Arial" w:hAnsi="Arial"/>
                <w:sz w:val="18"/>
                <w:szCs w:val="18"/>
                <w:color w:val="auto"/>
                <w:w w:val="85"/>
              </w:rPr>
              <w:t>Severance and</w:t>
            </w:r>
          </w:p>
        </w:tc>
        <w:tc>
          <w:tcPr>
            <w:tcW w:w="3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4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Other Costs</w:t>
            </w:r>
          </w:p>
        </w:tc>
        <w:tc>
          <w:tcPr>
            <w:tcW w:w="180" w:type="dxa"/>
            <w:vAlign w:val="bottom"/>
          </w:tcPr>
          <w:p>
            <w:pPr>
              <w:spacing w:after="0"/>
              <w:rPr>
                <w:sz w:val="21"/>
                <w:szCs w:val="21"/>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Related Benefits</w:t>
            </w:r>
          </w:p>
        </w:tc>
        <w:tc>
          <w:tcPr>
            <w:tcW w:w="380" w:type="dxa"/>
            <w:vAlign w:val="bottom"/>
          </w:tcPr>
          <w:p>
            <w:pPr>
              <w:spacing w:after="0"/>
              <w:rPr>
                <w:sz w:val="21"/>
                <w:szCs w:val="21"/>
                <w:color w:val="auto"/>
              </w:rPr>
            </w:pPr>
          </w:p>
        </w:tc>
        <w:tc>
          <w:tcPr>
            <w:tcW w:w="1340" w:type="dxa"/>
            <w:vAlign w:val="bottom"/>
          </w:tcPr>
          <w:p>
            <w:pPr>
              <w:jc w:val="right"/>
              <w:ind w:right="59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3"/>
        </w:trPr>
        <w:tc>
          <w:tcPr>
            <w:tcW w:w="5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1, 2022</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3,900</w:t>
            </w:r>
          </w:p>
        </w:tc>
        <w:tc>
          <w:tcPr>
            <w:tcW w:w="0" w:type="dxa"/>
            <w:vAlign w:val="bottom"/>
          </w:tcPr>
          <w:p>
            <w:pPr>
              <w:spacing w:after="0"/>
              <w:rPr>
                <w:sz w:val="1"/>
                <w:szCs w:val="1"/>
                <w:color w:val="auto"/>
              </w:rPr>
            </w:pPr>
          </w:p>
        </w:tc>
      </w:tr>
      <w:tr>
        <w:trPr>
          <w:trHeight w:val="229"/>
        </w:trPr>
        <w:tc>
          <w:tcPr>
            <w:tcW w:w="5840" w:type="dxa"/>
            <w:vAlign w:val="bottom"/>
          </w:tcPr>
          <w:p>
            <w:pPr>
              <w:ind w:left="20"/>
              <w:spacing w:after="0"/>
              <w:rPr>
                <w:sz w:val="20"/>
                <w:szCs w:val="20"/>
                <w:color w:val="auto"/>
              </w:rPr>
            </w:pPr>
            <w:r>
              <w:rPr>
                <w:rFonts w:ascii="Arial" w:cs="Arial" w:eastAsia="Arial" w:hAnsi="Arial"/>
                <w:sz w:val="18"/>
                <w:szCs w:val="18"/>
                <w:color w:val="auto"/>
              </w:rPr>
              <w:t>Costs incurred</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644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5,586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6,230</w:t>
            </w: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disbursements</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(4,982)</w:t>
            </w:r>
          </w:p>
        </w:tc>
        <w:tc>
          <w:tcPr>
            <w:tcW w:w="0" w:type="dxa"/>
            <w:vAlign w:val="bottom"/>
          </w:tcPr>
          <w:p>
            <w:pPr>
              <w:spacing w:after="0"/>
              <w:rPr>
                <w:sz w:val="1"/>
                <w:szCs w:val="1"/>
                <w:color w:val="auto"/>
              </w:rPr>
            </w:pPr>
          </w:p>
        </w:tc>
      </w:tr>
      <w:tr>
        <w:trPr>
          <w:trHeight w:val="230"/>
        </w:trPr>
        <w:tc>
          <w:tcPr>
            <w:tcW w:w="5840" w:type="dxa"/>
            <w:vAlign w:val="bottom"/>
          </w:tcPr>
          <w:p>
            <w:pPr>
              <w:ind w:left="20"/>
              <w:spacing w:after="0"/>
              <w:rPr>
                <w:sz w:val="20"/>
                <w:szCs w:val="20"/>
                <w:color w:val="auto"/>
              </w:rPr>
            </w:pPr>
            <w:r>
              <w:rPr>
                <w:rFonts w:ascii="Arial" w:cs="Arial" w:eastAsia="Arial" w:hAnsi="Arial"/>
                <w:sz w:val="18"/>
                <w:szCs w:val="18"/>
                <w:color w:val="auto"/>
              </w:rPr>
              <w:t>Translation and other adjustments</w:t>
            </w:r>
          </w:p>
        </w:tc>
        <w:tc>
          <w:tcPr>
            <w:tcW w:w="10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8"/>
        </w:trPr>
        <w:tc>
          <w:tcPr>
            <w:tcW w:w="5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August 31, 2023</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5,167</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During fiscal year 2023, we restructured our operations in connection with the acquisition and subsequent integration of MarkLogic, which resulted in a reduction in redundant positions, primarily within administrative functions. Cash disbursements for expenses incurred to date under this restructuring are expected to be made through fiscal year 2023. We expect to incur additional expenses as part of these actions related to employee costs and facility closures during fiscal year 2024, but we do not expect these costs to be material.</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Earnings per share</w:t>
      </w:r>
    </w:p>
    <w:p>
      <w:pPr>
        <w:spacing w:after="0" w:line="25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compute basic earnings per share using the weighted average number of common shares outstanding. We compute diluted earnings per share using the weighted average number of common shares outstanding plus the effect of outstanding dilutive stock options, restricted stock units and deferred stock units, using the treasury stock method. The following table sets forth the calculation of basic and diluted earnings per share on an interim basis (in thousands, except per share data):</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40" w:type="dxa"/>
            <w:vAlign w:val="bottom"/>
            <w:gridSpan w:val="5"/>
          </w:tcPr>
          <w:p>
            <w:pPr>
              <w:ind w:left="600"/>
              <w:spacing w:after="0"/>
              <w:rPr>
                <w:sz w:val="20"/>
                <w:szCs w:val="20"/>
                <w:color w:val="auto"/>
              </w:rPr>
            </w:pPr>
            <w:r>
              <w:rPr>
                <w:rFonts w:ascii="Arial" w:cs="Arial" w:eastAsia="Arial" w:hAnsi="Arial"/>
                <w:sz w:val="18"/>
                <w:szCs w:val="18"/>
                <w:color w:val="auto"/>
              </w:rPr>
              <w:t>Three Months Ended</w:t>
            </w:r>
          </w:p>
        </w:tc>
        <w:tc>
          <w:tcPr>
            <w:tcW w:w="120" w:type="dxa"/>
            <w:vAlign w:val="bottom"/>
          </w:tcPr>
          <w:p>
            <w:pPr>
              <w:spacing w:after="0"/>
              <w:rPr>
                <w:sz w:val="20"/>
                <w:szCs w:val="20"/>
                <w:color w:val="auto"/>
              </w:rPr>
            </w:pPr>
          </w:p>
        </w:tc>
        <w:tc>
          <w:tcPr>
            <w:tcW w:w="2860" w:type="dxa"/>
            <w:vAlign w:val="bottom"/>
            <w:gridSpan w:val="4"/>
          </w:tcPr>
          <w:p>
            <w:pPr>
              <w:jc w:val="right"/>
              <w:ind w:right="670"/>
              <w:spacing w:after="0"/>
              <w:rPr>
                <w:sz w:val="20"/>
                <w:szCs w:val="20"/>
                <w:color w:val="auto"/>
              </w:rPr>
            </w:pPr>
            <w:r>
              <w:rPr>
                <w:rFonts w:ascii="Arial" w:cs="Arial" w:eastAsia="Arial" w:hAnsi="Arial"/>
                <w:sz w:val="18"/>
                <w:szCs w:val="18"/>
                <w:color w:val="auto"/>
              </w:rPr>
              <w:t>Nine Months Ended</w:t>
            </w:r>
          </w:p>
        </w:tc>
      </w:tr>
      <w:tr>
        <w:trPr>
          <w:trHeight w:val="223"/>
        </w:trPr>
        <w:tc>
          <w:tcPr>
            <w:tcW w:w="5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August 31, 2023</w:t>
            </w:r>
          </w:p>
        </w:tc>
        <w:tc>
          <w:tcPr>
            <w:tcW w:w="1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9"/>
              </w:rPr>
              <w:t>August 31, 2022</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August 31, 2023</w:t>
            </w:r>
          </w:p>
        </w:tc>
        <w:tc>
          <w:tcPr>
            <w:tcW w:w="1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9"/>
              </w:rPr>
              <w:t>August 31, 2022</w:t>
            </w:r>
          </w:p>
        </w:tc>
      </w:tr>
      <w:tr>
        <w:trPr>
          <w:trHeight w:val="223"/>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19,098</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21,797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54,862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71,361</w:t>
            </w:r>
          </w:p>
        </w:tc>
      </w:tr>
      <w:tr>
        <w:trPr>
          <w:trHeight w:val="230"/>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Weighted average shares outstanding</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43,452</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43,211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43,365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43,589</w:t>
            </w:r>
          </w:p>
        </w:tc>
      </w:tr>
      <w:tr>
        <w:trPr>
          <w:trHeight w:val="22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 per common share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r>
      <w:tr>
        <w:trPr>
          <w:trHeight w:val="250"/>
        </w:trPr>
        <w:tc>
          <w:tcPr>
            <w:tcW w:w="5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common share:</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19,098</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21,797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54,862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71,361</w:t>
            </w:r>
          </w:p>
        </w:tc>
      </w:tr>
      <w:tr>
        <w:trPr>
          <w:trHeight w:val="22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43,452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43,211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43,365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43,589</w:t>
            </w: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Effect of dilution from common stock equivalents</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1,353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724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1,178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710</w:t>
            </w: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dilution from if-converted Convertible Senior Notes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Diluted weighted average shares outstanding</w:t>
            </w:r>
          </w:p>
        </w:tc>
        <w:tc>
          <w:tcPr>
            <w:tcW w:w="12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44,981</w:t>
            </w:r>
          </w:p>
        </w:tc>
        <w:tc>
          <w:tcPr>
            <w:tcW w:w="12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43,935</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44,543</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44,299</w:t>
            </w:r>
          </w:p>
        </w:tc>
      </w:tr>
      <w:tr>
        <w:trPr>
          <w:trHeight w:val="22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r>
    </w:tbl>
    <w:p>
      <w:pPr>
        <w:spacing w:after="0" w:line="323"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We excluded stock awards representing approximately 252,000 and 286,000 shares of common stock from the calculation of diluted earnings per share in the three and nine months ended August 31, 2023, respectively, as these awards were anti-dilutive. We excluded stock awards representing approximately 1,777,000 and 1,739,000 shares of common stock from the calculation</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color w:val="auto"/>
        </w:rPr>
        <w:t>of diluted earnings per share in the three and nine months ended August 31, 2022, respectively, as these awards were anti-dilutive.</w:t>
      </w:r>
    </w:p>
    <w:p>
      <w:pPr>
        <w:spacing w:after="0" w:line="252"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The dilutive impact of the Notes on our calculation of diluted earnings per share is considered using the if-converted method. For the three months ended August 31, 2023, the average daily closing price of the Company's common stock was greater than the conversion price for the Notes outstanding as of August 31, 2023. Therefore, for this period, the Company applied the if-converted method for calculating diluted earnings per common share. During the nine months ended August 31, 2023, the average daily closing price of the Company's common stock was less than the conversion price for the Notes. Therefore, for this period, the Notes had no impact on the computation of diluted earnings per common share.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Segment Information</w:t>
      </w:r>
    </w:p>
    <w:p>
      <w:pPr>
        <w:spacing w:after="0" w:line="243" w:lineRule="exact"/>
        <w:rPr>
          <w:sz w:val="20"/>
          <w:szCs w:val="20"/>
          <w:color w:val="auto"/>
        </w:rPr>
      </w:pPr>
    </w:p>
    <w:p>
      <w:pPr>
        <w:ind w:right="280"/>
        <w:spacing w:after="0" w:line="248" w:lineRule="auto"/>
        <w:rPr>
          <w:sz w:val="20"/>
          <w:szCs w:val="20"/>
          <w:color w:val="auto"/>
        </w:rPr>
      </w:pPr>
      <w:r>
        <w:rPr>
          <w:rFonts w:ascii="Arial" w:cs="Arial" w:eastAsia="Arial" w:hAnsi="Arial"/>
          <w:sz w:val="18"/>
          <w:szCs w:val="18"/>
          <w:color w:val="auto"/>
        </w:rPr>
        <w:t>Operating segments are components of an enterprise that engage in business activities for which discrete financial information is available and regularly reviewed by the chief operating decision maker ("CODM") in deciding how to allocate resources and assess performance. Our CODM is our Chief Executive Officer.</w:t>
      </w:r>
    </w:p>
    <w:p>
      <w:pPr>
        <w:spacing w:after="0" w:line="209" w:lineRule="exact"/>
        <w:rPr>
          <w:sz w:val="20"/>
          <w:szCs w:val="20"/>
          <w:color w:val="auto"/>
        </w:rPr>
      </w:pPr>
    </w:p>
    <w:p>
      <w:pPr>
        <w:ind w:right="280"/>
        <w:spacing w:after="0" w:line="248" w:lineRule="auto"/>
        <w:rPr>
          <w:sz w:val="20"/>
          <w:szCs w:val="20"/>
          <w:color w:val="auto"/>
        </w:rPr>
      </w:pPr>
      <w:r>
        <w:rPr>
          <w:rFonts w:ascii="Arial" w:cs="Arial" w:eastAsia="Arial" w:hAnsi="Arial"/>
          <w:sz w:val="18"/>
          <w:szCs w:val="18"/>
          <w:color w:val="auto"/>
        </w:rPr>
        <w:t>We operate as one operating segment: software products to develop, deploy, and manage high-impact applications. Our CODM evaluates financial information on a consolidated basis. As we operate as one operating segment, the required financial segment information can be found in the condensed consolidated financial statements.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Cyber Related Matters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November 2022 Cyber Incident</w:t>
      </w:r>
    </w:p>
    <w:p>
      <w:pPr>
        <w:spacing w:after="0" w:line="225"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auto"/>
        </w:rPr>
        <w:t>Following the detection of irregular activity on certain portions of our corporate network, we engaged outside cybersecurity experts and other incident response professionals to conduct a forensic investigation and assess the extent and scope of the cyber incident. Costs for this cyber incident were primarily related to the engagement of external cybersecurity experts and other incident response professionals. We did not incur any meaningful costs related to this cyber incident for the three months ended August 31, 2023. For the nine months ended August 31, 2023, we incurred $4.2 million of costs related to this cyber incident. Costs are provided net of received and expected insurance recoveries of approximately $3.0 million, which was recognized during the first quarter of fiscal year 2023. The timing of recognizing insurance recoveries may differ from the timing of recognizing the associated expenses.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MOVEit Vulnerability</w:t>
      </w:r>
    </w:p>
    <w:p>
      <w:pPr>
        <w:spacing w:after="0" w:line="239" w:lineRule="exact"/>
        <w:rPr>
          <w:sz w:val="20"/>
          <w:szCs w:val="20"/>
          <w:color w:val="auto"/>
        </w:rPr>
      </w:pPr>
    </w:p>
    <w:p>
      <w:pPr>
        <w:ind w:right="60"/>
        <w:spacing w:after="0" w:line="252" w:lineRule="auto"/>
        <w:rPr>
          <w:sz w:val="20"/>
          <w:szCs w:val="20"/>
          <w:color w:val="auto"/>
        </w:rPr>
      </w:pPr>
      <w:r>
        <w:rPr>
          <w:rFonts w:ascii="Arial" w:cs="Arial" w:eastAsia="Arial" w:hAnsi="Arial"/>
          <w:sz w:val="17"/>
          <w:szCs w:val="17"/>
          <w:color w:val="auto"/>
        </w:rPr>
        <w:t>As previously reported, on the evening of May 28, 2023, our MOVEit technical support team received an initial customer support call indicating unusual activity within their MOVEit Transfer instance. An investigative team was mobilized and, on May 30, 2023, the investigative team discovered a zero-day vulnerability in MOVEit Transfer (including our cloud-hosted version of MOVEit Transfer known as MOVEit Cloud). The investigative team determined the zero-day vulnerability (the “MOVEit Vulnerability”) could provide for unauthorized escalated privileges and access to the customer’s underlying environment in both MOVEit Transfer (the on-premise version) and MOVEit Cloud (a cloud-hosted version of MOVEit Transfer that we deploy in both (i) a public cloud format, as well as (ii) for a small group of customers, in customer-dedicated cloud instances that are hosted, separate and apart from the public instances of our MOVEit Cloud platform).</w:t>
      </w:r>
    </w:p>
    <w:p>
      <w:pPr>
        <w:spacing w:after="0" w:line="210"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We will continue to assess the potential impact of the MOVEit Vulnerability on our business, operations, and financial results. MOVEit Transfer and MOVEit Cloud represented less than 4% in aggregate of our revenue for the nine months ended August 31, 2023.</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 and Governmental Investigations</w:t>
      </w:r>
    </w:p>
    <w:p>
      <w:pPr>
        <w:spacing w:after="0" w:line="239"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auto"/>
        </w:rPr>
        <w:t>As of the date of the issuance of the financial statements, (i) we have received formal letters from 23 customers and others that claim to have been impacted by the MOVEit Vulnerability, some of which have indicated that they intend to seek indemnification from us related to the MOVEit Vulnerability, (ii) we have received a letter from an insurer providing for notice of a subrogation claim (where the insurer is seeking recovery for all expenses incurred in connection with the MOVEit Vulnerability), and (iii) we are party to 58 class action lawsuits filed by individuals who claim to have been impacted by the exfiltration of data from the environments of our MOVEit Transfer customers (on October 4, 2023, the Judicial Panel on Multidistrict Litigation issued an order consolidating litigation relating to the MOVEit Vulnerability where we are a party in the United States District Court, District of Massachusetts).</w:t>
      </w:r>
    </w:p>
    <w:p>
      <w:pPr>
        <w:spacing w:after="0" w:line="175" w:lineRule="exact"/>
        <w:rPr>
          <w:sz w:val="20"/>
          <w:szCs w:val="20"/>
          <w:color w:val="auto"/>
        </w:rPr>
      </w:pPr>
    </w:p>
    <w:p>
      <w:pPr>
        <w:spacing w:after="0" w:line="230" w:lineRule="auto"/>
        <w:rPr>
          <w:sz w:val="20"/>
          <w:szCs w:val="20"/>
          <w:color w:val="auto"/>
        </w:rPr>
      </w:pPr>
      <w:r>
        <w:rPr>
          <w:rFonts w:ascii="Arial" w:cs="Arial" w:eastAsia="Arial" w:hAnsi="Arial"/>
          <w:sz w:val="16"/>
          <w:szCs w:val="16"/>
          <w:color w:val="auto"/>
        </w:rPr>
        <w:t>We have also been cooperating with several inquiries from domestic and foreign data privacy regulators, inquiries from several state attorneys general, as well as formal investigations from: (i) a U.S. federal law enforcement agency (as of the date of the filing of this report, the law enforcement investigation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that we are cooperating with is not an enforcement action or formal</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0" w:name="page21"/>
    <w:bookmarkEnd w:id="20"/>
    <w:p>
      <w:pPr>
        <w:spacing w:after="0" w:line="239" w:lineRule="auto"/>
        <w:rPr>
          <w:sz w:val="20"/>
          <w:szCs w:val="20"/>
          <w:color w:val="auto"/>
        </w:rPr>
      </w:pPr>
      <w:r>
        <w:rPr>
          <w:rFonts w:ascii="Arial" w:cs="Arial" w:eastAsia="Arial" w:hAnsi="Arial"/>
          <w:sz w:val="16"/>
          <w:szCs w:val="16"/>
          <w:color w:val="auto"/>
        </w:rPr>
        <w:t>governmental investigation of which we have been told that we are a target), and (ii) the SEC (as further described hereafter). On October 2, 2023, Progress received a subpoena from the SEC seeking various documents and information relating to the MOVEit Vulnerability. As described in the cover letter</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16"/>
          <w:szCs w:val="16"/>
          <w:color w:val="auto"/>
        </w:rPr>
        <w:t>accompanying the subpoena, at this stage, the SEC investigation is a fact-finding inquiry, the investigation does not mean that Progress or anyone else has violated federal securities laws, and the investigation does not mean that the SEC has a negative opinion of any person, entity, or security. Progress intends</w:t>
      </w:r>
    </w:p>
    <w:p>
      <w:pPr>
        <w:spacing w:after="0"/>
        <w:rPr>
          <w:sz w:val="20"/>
          <w:szCs w:val="20"/>
          <w:color w:val="auto"/>
        </w:rPr>
      </w:pPr>
      <w:r>
        <w:rPr>
          <w:rFonts w:ascii="Arial" w:cs="Arial" w:eastAsia="Arial" w:hAnsi="Arial"/>
          <w:sz w:val="18"/>
          <w:szCs w:val="18"/>
          <w:color w:val="auto"/>
        </w:rPr>
        <w:t>to cooperate fully with the SEC in its investigation.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 Incurred and Future Costs</w:t>
      </w:r>
    </w:p>
    <w:p>
      <w:pPr>
        <w:spacing w:after="0" w:line="239"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color w:val="auto"/>
        </w:rPr>
        <w:t>For the three and nine months ended August 31, 2023, we incurred $1.0 million of costs related to the MOVEit Vulnerability. The costs recognized are net of received and expected insurance recoveries of approximately $1.9 million, which was recognized during the third quarter of fiscal year 2023. The timing of recognizing insurance recoveries may differ from the timing of recognizing the associated expenses. We expect to incur investigation, legal and professional services expenses associated with the MOVEit Vulnerability in future periods. We will recognize these expenses as services are received, net of received and expected insurance recoveries. While a loss from these matters is possible, we cannot reasonably estimate a range of possible losses at this time, particularly while the foregoing matters remain ongoing. Furthermore, with respect to the litigation, the proceedings remain in the early stages, alleged damages have not been specified, there is uncertainty as to the likelihood of a class or classes being certified or the ultimate size of any class if certified, and there are significant factual and legal issues to be resolved. Also, each of the governmental inquiries and investigations mentioned above could result in adverse judgements, settlements, fines, penalties, or other resolutions, the amount, scope and timing of which could be material, but which we are currently unable to predict. Therefore, we have not recorded a loss contingency liability for the MOVEit Vulnerability as of August 31, 2023.</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Insurance Coverage</w:t>
      </w:r>
    </w:p>
    <w:p>
      <w:pPr>
        <w:spacing w:after="0" w:line="239"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During the period when the November 2022 cyber incident and the MOVEit Vulnerability occurred, we maintained $15.0 million of cybersecurity insurance coverage, which is expected to reduce our exposure to expenses and liabilities arising from these events. As of August 31, 2023, we have recorded approximately $4.9 million in insurance recoveries, of which $3.0 million was related to the November 2022 cyber incident and $1.9 million was related to the May 2023 MOVEit Vulnerability, providing us with $10.1 million of additional cybersecurity insurance coverage (which is subject to a $0.5 million retention per claim). We will pursue recoveries to the maximum extent available under our insurance policies.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56"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This Form 10-Q may contain information that are "forward-looking statements" within the meaning of Section 27A of the Securities Act of 1933, as amended; Section 21E of the Securities Exchange Act of 1934, as amended; and the Private Securities Litigation Reform Act of 1995. Whenever we use words such as "believe," "may," "could," "would," "might," "should," "expect," "intend," "plan," "estimate," "target," "anticipate" and negatives and derivatives of these or similar expressions, or when we make statements concerning future financial results, product offerings or other events that have not yet occurred, we are making forward-looking statements. These forward-looking statements are based upon our present intent, beliefs or expectations, but are not guaranteed to occur and may not occur. Actual future results may differ materially from those contained in or implied by our forward-looking statements due to various factors which are more fully described in Part I, Item 1A. Risk Factors in our 2022 Annual Report as well as the risk factors described in Part II, Item 1A of this Report on Form 10-Q. Although we have sought to identify the most significant risks to our business, we cannot predict whether, or to what extent, any of such risks may be realized. We also cannot assure you that we have identified all possible issues that we might face. We undertake no obligation to update any forward-looking statements that we make.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Progress provides enterprise software products for the development, deployment and management of high-impact business applications.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key tenets of our strategic plan and operating model are as follows:</w:t>
      </w:r>
    </w:p>
    <w:p>
      <w:pPr>
        <w:spacing w:after="0" w:line="248" w:lineRule="exact"/>
        <w:rPr>
          <w:sz w:val="20"/>
          <w:szCs w:val="20"/>
          <w:color w:val="auto"/>
        </w:rPr>
      </w:pPr>
    </w:p>
    <w:p>
      <w:pPr>
        <w:ind w:right="220"/>
        <w:spacing w:after="0" w:line="289" w:lineRule="auto"/>
        <w:rPr>
          <w:sz w:val="20"/>
          <w:szCs w:val="20"/>
          <w:color w:val="auto"/>
        </w:rPr>
      </w:pPr>
      <w:r>
        <w:rPr>
          <w:rFonts w:ascii="Arial" w:cs="Arial" w:eastAsia="Arial" w:hAnsi="Arial"/>
          <w:sz w:val="17"/>
          <w:szCs w:val="17"/>
          <w:b w:val="1"/>
          <w:bCs w:val="1"/>
          <w:color w:val="auto"/>
        </w:rPr>
        <w:t>Be the Trusted Provider of the Best Products to Develop, Deploy and Manage High Impact Applications</w:t>
      </w:r>
      <w:r>
        <w:rPr>
          <w:rFonts w:ascii="Arial" w:cs="Arial" w:eastAsia="Arial" w:hAnsi="Arial"/>
          <w:sz w:val="17"/>
          <w:szCs w:val="17"/>
          <w:color w:val="auto"/>
        </w:rPr>
        <w:t>. A key element of our strategy is centered</w:t>
      </w:r>
      <w:r>
        <w:rPr>
          <w:rFonts w:ascii="Arial" w:cs="Arial" w:eastAsia="Arial" w:hAnsi="Arial"/>
          <w:sz w:val="17"/>
          <w:szCs w:val="17"/>
          <w:b w:val="1"/>
          <w:bCs w:val="1"/>
          <w:color w:val="auto"/>
        </w:rPr>
        <w:t xml:space="preserve"> </w:t>
      </w:r>
      <w:r>
        <w:rPr>
          <w:rFonts w:ascii="Arial" w:cs="Arial" w:eastAsia="Arial" w:hAnsi="Arial"/>
          <w:sz w:val="17"/>
          <w:szCs w:val="17"/>
          <w:color w:val="auto"/>
        </w:rPr>
        <w:t>on building and maintaining the best products and tools enterprises need to build, deploy, and manage modern, strategic business applications. We offer these products and tools to both new customers and partners, as well as our existing partner and customer ecosystems.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21" w:name="page22"/>
    <w:bookmarkEnd w:id="21"/>
    <w:p>
      <w:pPr>
        <w:ind w:right="140"/>
        <w:spacing w:after="0" w:line="266" w:lineRule="auto"/>
        <w:rPr>
          <w:sz w:val="20"/>
          <w:szCs w:val="20"/>
          <w:color w:val="auto"/>
        </w:rPr>
      </w:pPr>
      <w:r>
        <w:rPr>
          <w:rFonts w:ascii="Arial" w:cs="Arial" w:eastAsia="Arial" w:hAnsi="Arial"/>
          <w:sz w:val="18"/>
          <w:szCs w:val="18"/>
          <w:b w:val="1"/>
          <w:bCs w:val="1"/>
          <w:color w:val="auto"/>
        </w:rPr>
        <w:t>Focus on Customer and Partner Retention to Drive Recurring Revenue and Profitability</w:t>
      </w:r>
      <w:r>
        <w:rPr>
          <w:rFonts w:ascii="Arial" w:cs="Arial" w:eastAsia="Arial" w:hAnsi="Arial"/>
          <w:sz w:val="18"/>
          <w:szCs w:val="18"/>
          <w:color w:val="auto"/>
        </w:rPr>
        <w:t>. Our organizational philosophy and operating principles</w:t>
      </w:r>
      <w:r>
        <w:rPr>
          <w:rFonts w:ascii="Arial" w:cs="Arial" w:eastAsia="Arial" w:hAnsi="Arial"/>
          <w:sz w:val="18"/>
          <w:szCs w:val="18"/>
          <w:b w:val="1"/>
          <w:bCs w:val="1"/>
          <w:color w:val="auto"/>
        </w:rPr>
        <w:t xml:space="preserve"> </w:t>
      </w:r>
      <w:r>
        <w:rPr>
          <w:rFonts w:ascii="Arial" w:cs="Arial" w:eastAsia="Arial" w:hAnsi="Arial"/>
          <w:sz w:val="18"/>
          <w:szCs w:val="18"/>
          <w:color w:val="auto"/>
        </w:rPr>
        <w:t>focus primarily on customer and partner retention and success, and a streamlined operating approach to drive predictable and stable recurring revenue and high levels of profitability.</w:t>
      </w:r>
    </w:p>
    <w:p>
      <w:pPr>
        <w:spacing w:after="0" w:line="203"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b w:val="1"/>
          <w:bCs w:val="1"/>
          <w:color w:val="auto"/>
        </w:rPr>
        <w:t xml:space="preserve">Follow a Total Growth Strategy through Accretive M&amp;A. </w:t>
      </w:r>
      <w:r>
        <w:rPr>
          <w:rFonts w:ascii="Arial" w:cs="Arial" w:eastAsia="Arial" w:hAnsi="Arial"/>
          <w:sz w:val="18"/>
          <w:szCs w:val="18"/>
          <w:color w:val="auto"/>
        </w:rPr>
        <w:t>We are pursuing a total growth strategy driven by accretive acquisitions of businesses within</w:t>
      </w:r>
      <w:r>
        <w:rPr>
          <w:rFonts w:ascii="Arial" w:cs="Arial" w:eastAsia="Arial" w:hAnsi="Arial"/>
          <w:sz w:val="18"/>
          <w:szCs w:val="18"/>
          <w:b w:val="1"/>
          <w:bCs w:val="1"/>
          <w:color w:val="auto"/>
        </w:rPr>
        <w:t xml:space="preserve"> </w:t>
      </w:r>
      <w:r>
        <w:rPr>
          <w:rFonts w:ascii="Arial" w:cs="Arial" w:eastAsia="Arial" w:hAnsi="Arial"/>
          <w:sz w:val="18"/>
          <w:szCs w:val="18"/>
          <w:color w:val="auto"/>
        </w:rPr>
        <w:t>the infrastructure software space, with products that appeal to both IT organizations and individual developers. These acquisitions must meet strict financial and other criteria, which help further our goal to provide significant stockholder returns by providing scale and increased cash flows. In April 2019, we acquired Ipswitch, Inc.; in October 2020, we acquired Chef Software, Inc.; in November 2021, we acquired Kemp Technologies; and in February 2023, we acquired MarkLogic. These acquisitions met our strict financial criteria.</w:t>
      </w:r>
    </w:p>
    <w:p>
      <w:pPr>
        <w:spacing w:after="0" w:line="222"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color w:val="auto"/>
        </w:rPr>
        <w:t>Employ a Multi-Faceted Capital Allocation Strategy</w:t>
      </w:r>
      <w:r>
        <w:rPr>
          <w:rFonts w:ascii="Arial" w:cs="Arial" w:eastAsia="Arial" w:hAnsi="Arial"/>
          <w:sz w:val="18"/>
          <w:szCs w:val="18"/>
          <w:color w:val="auto"/>
        </w:rPr>
        <w:t>. Our capital allocation policy emphasizes accretive M&amp;A, which allows us to expand our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and drive significant stockholder returns. We also utilize dividends and share repurchases to return capital to stockholders. We intend to continue to repurchase our shares in sufficient quantities to offset dilution from our equity plans and to continue to return a portion of our annual cash flows from operations to stockholders in the form of dividends.</w:t>
      </w:r>
    </w:p>
    <w:p>
      <w:pPr>
        <w:spacing w:after="0" w:line="21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We expect to continue to pursue acquisitions meeting our financial criteria that are designed to expand our business and drive significant stockholder returns. As a result, our expected uses of cash could change, our cash position could be reduced, and we may incur additional debt obligations to the extent we complete additional acquisitions. However, we currently believe that existing cash balances, together with funds generated from operations and amounts available under our Credit Facility, will be sufficient to finance our operations and meet our foreseeable cash requirements, including quarterly cash dividends and stock repurchases to Progress stockholders, as applicable, through at least the next twelve months.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56"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Management’s discussion and analysis of financial condition and results of operations are based upon our consolidated financial statements, which have been prepared in accordance with GAAP. We make estimates and assumptions in the preparation of our consolidated financial statements that affect the reported amounts of assets and liabilities, revenue and expenses and related disclosures of contingent assets and liabilities. We base our estimates on historical experience and various other assumptions that are believed to be reasonable under the circumstances. However, actual results may differ from these estimates. The most significant estimates relate to revenue recognition and business combinations. For further information regarding the application of these and other accounting policies, see Note 1 to our Consolidated Financial Statements in Item 8 of our 2022 Annual Report. There have been no significant changes to our critical accounting policies and estimates since our 2022 Annual Report.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Constant Currency</w:t>
      </w:r>
    </w:p>
    <w:p>
      <w:pPr>
        <w:spacing w:after="0" w:line="256"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Revenue from our international operations has historically represented a substantial portion of our total revenue. As a result, our revenue results have been impacted, and we expect will continue to be impacted, by fluctuations in foreign currency exchange rates. For example, if the local currencies of our foreign subsidiaries strengthen, our consolidated results stated in U.S. dollars are positively impacted.</w:t>
      </w:r>
    </w:p>
    <w:p>
      <w:pPr>
        <w:spacing w:after="0" w:line="21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As exchange rates are an important factor in understanding period-to-period comparisons, we believe the presentation of revenue growth rates on a constant currency basis enhances the understanding of our revenue results and evaluation of our performance in comparison to prior periods. The constant currency information presented is calculated by translating current period results using prior period weighted average foreign currency exchange rates. These results should be considered in addition to, not as a substitute for, results reported in accordance with GAAP.</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r>
              <w:rPr>
                <w:rFonts w:ascii="Arial" w:cs="Arial" w:eastAsia="Arial" w:hAnsi="Arial"/>
                <w:sz w:val="18"/>
                <w:szCs w:val="18"/>
                <w:b w:val="1"/>
                <w:bCs w:val="1"/>
                <w:color w:val="auto"/>
              </w:rPr>
              <w:t>Results of Operations</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59"/>
        </w:trPr>
        <w:tc>
          <w:tcPr>
            <w:tcW w:w="5160" w:type="dxa"/>
            <w:vAlign w:val="bottom"/>
          </w:tcPr>
          <w:p>
            <w:pPr>
              <w:spacing w:after="0"/>
              <w:rPr>
                <w:sz w:val="20"/>
                <w:szCs w:val="20"/>
                <w:color w:val="auto"/>
              </w:rPr>
            </w:pPr>
            <w:r>
              <w:rPr>
                <w:rFonts w:ascii="Arial" w:cs="Arial" w:eastAsia="Arial" w:hAnsi="Arial"/>
                <w:sz w:val="18"/>
                <w:szCs w:val="18"/>
                <w:i w:val="1"/>
                <w:iCs w:val="1"/>
                <w:color w:val="auto"/>
              </w:rPr>
              <w:t>Revenue</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57"/>
        </w:trPr>
        <w:tc>
          <w:tcPr>
            <w:tcW w:w="5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60" w:type="dxa"/>
            <w:vAlign w:val="bottom"/>
            <w:gridSpan w:val="5"/>
          </w:tcPr>
          <w:p>
            <w:pPr>
              <w:ind w:left="640"/>
              <w:spacing w:after="0"/>
              <w:rPr>
                <w:sz w:val="20"/>
                <w:szCs w:val="20"/>
                <w:color w:val="auto"/>
              </w:rPr>
            </w:pPr>
            <w:r>
              <w:rPr>
                <w:rFonts w:ascii="Arial" w:cs="Arial" w:eastAsia="Arial" w:hAnsi="Arial"/>
                <w:sz w:val="18"/>
                <w:szCs w:val="18"/>
                <w:color w:val="auto"/>
              </w:rPr>
              <w:t>Three Months Ended</w:t>
            </w:r>
          </w:p>
        </w:tc>
        <w:tc>
          <w:tcPr>
            <w:tcW w:w="2880" w:type="dxa"/>
            <w:vAlign w:val="bottom"/>
            <w:gridSpan w:val="3"/>
          </w:tcPr>
          <w:p>
            <w:pPr>
              <w:jc w:val="right"/>
              <w:ind w:right="990"/>
              <w:spacing w:after="0"/>
              <w:rPr>
                <w:sz w:val="20"/>
                <w:szCs w:val="20"/>
                <w:color w:val="auto"/>
              </w:rPr>
            </w:pPr>
            <w:r>
              <w:rPr>
                <w:rFonts w:ascii="Arial" w:cs="Arial" w:eastAsia="Arial" w:hAnsi="Arial"/>
                <w:sz w:val="18"/>
                <w:szCs w:val="18"/>
                <w:color w:val="auto"/>
              </w:rPr>
              <w:t>% Change</w:t>
            </w:r>
          </w:p>
        </w:tc>
      </w:tr>
      <w:tr>
        <w:trPr>
          <w:trHeight w:val="223"/>
        </w:trPr>
        <w:tc>
          <w:tcPr>
            <w:tcW w:w="51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August 31, 2023</w:t>
            </w:r>
          </w:p>
        </w:tc>
        <w:tc>
          <w:tcPr>
            <w:tcW w:w="1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1"/>
              </w:rPr>
              <w:t>August 31, 2022</w:t>
            </w:r>
          </w:p>
        </w:tc>
        <w:tc>
          <w:tcPr>
            <w:tcW w:w="120" w:type="dxa"/>
            <w:vAlign w:val="bottom"/>
          </w:tcPr>
          <w:p>
            <w:pPr>
              <w:spacing w:after="0"/>
              <w:rPr>
                <w:sz w:val="19"/>
                <w:szCs w:val="19"/>
                <w:color w:val="auto"/>
              </w:rPr>
            </w:pPr>
          </w:p>
        </w:tc>
        <w:tc>
          <w:tcPr>
            <w:tcW w:w="1480" w:type="dxa"/>
            <w:vAlign w:val="bottom"/>
            <w:tcBorders>
              <w:top w:val="single" w:sz="8" w:color="auto"/>
            </w:tcBorders>
            <w:gridSpan w:val="2"/>
          </w:tcPr>
          <w:p>
            <w:pPr>
              <w:ind w:left="240"/>
              <w:spacing w:after="0"/>
              <w:rPr>
                <w:sz w:val="20"/>
                <w:szCs w:val="20"/>
                <w:color w:val="auto"/>
              </w:rPr>
            </w:pPr>
            <w:r>
              <w:rPr>
                <w:rFonts w:ascii="Arial" w:cs="Arial" w:eastAsia="Arial" w:hAnsi="Arial"/>
                <w:sz w:val="18"/>
                <w:szCs w:val="18"/>
                <w:color w:val="auto"/>
              </w:rPr>
              <w:t>As Reported</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Constant Currency</w:t>
            </w:r>
          </w:p>
        </w:tc>
      </w:tr>
      <w:tr>
        <w:trPr>
          <w:trHeight w:val="223"/>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w w:val="95"/>
              </w:rPr>
              <w:t>174,992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151,217</w:t>
            </w:r>
          </w:p>
        </w:tc>
        <w:tc>
          <w:tcPr>
            <w:tcW w:w="12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14 %</w:t>
            </w:r>
          </w:p>
        </w:tc>
      </w:tr>
      <w:tr>
        <w:trPr>
          <w:trHeight w:val="594"/>
        </w:trPr>
        <w:tc>
          <w:tcPr>
            <w:tcW w:w="5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60" w:type="dxa"/>
            <w:vAlign w:val="bottom"/>
            <w:gridSpan w:val="5"/>
          </w:tcPr>
          <w:p>
            <w:pPr>
              <w:ind w:left="680"/>
              <w:spacing w:after="0"/>
              <w:rPr>
                <w:sz w:val="20"/>
                <w:szCs w:val="20"/>
                <w:color w:val="auto"/>
              </w:rPr>
            </w:pPr>
            <w:r>
              <w:rPr>
                <w:rFonts w:ascii="Arial" w:cs="Arial" w:eastAsia="Arial" w:hAnsi="Arial"/>
                <w:sz w:val="18"/>
                <w:szCs w:val="18"/>
                <w:color w:val="auto"/>
              </w:rPr>
              <w:t>Nine Months Ended</w:t>
            </w:r>
          </w:p>
        </w:tc>
        <w:tc>
          <w:tcPr>
            <w:tcW w:w="2880" w:type="dxa"/>
            <w:vAlign w:val="bottom"/>
            <w:gridSpan w:val="3"/>
          </w:tcPr>
          <w:p>
            <w:pPr>
              <w:jc w:val="right"/>
              <w:ind w:right="990"/>
              <w:spacing w:after="0"/>
              <w:rPr>
                <w:sz w:val="20"/>
                <w:szCs w:val="20"/>
                <w:color w:val="auto"/>
              </w:rPr>
            </w:pPr>
            <w:r>
              <w:rPr>
                <w:rFonts w:ascii="Arial" w:cs="Arial" w:eastAsia="Arial" w:hAnsi="Arial"/>
                <w:sz w:val="18"/>
                <w:szCs w:val="18"/>
                <w:color w:val="auto"/>
              </w:rPr>
              <w:t>% Change</w:t>
            </w:r>
          </w:p>
        </w:tc>
      </w:tr>
      <w:tr>
        <w:trPr>
          <w:trHeight w:val="223"/>
        </w:trPr>
        <w:tc>
          <w:tcPr>
            <w:tcW w:w="51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August 31, 2023</w:t>
            </w:r>
          </w:p>
        </w:tc>
        <w:tc>
          <w:tcPr>
            <w:tcW w:w="1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1"/>
              </w:rPr>
              <w:t>August 31, 2022</w:t>
            </w:r>
          </w:p>
        </w:tc>
        <w:tc>
          <w:tcPr>
            <w:tcW w:w="120" w:type="dxa"/>
            <w:vAlign w:val="bottom"/>
          </w:tcPr>
          <w:p>
            <w:pPr>
              <w:spacing w:after="0"/>
              <w:rPr>
                <w:sz w:val="19"/>
                <w:szCs w:val="19"/>
                <w:color w:val="auto"/>
              </w:rPr>
            </w:pPr>
          </w:p>
        </w:tc>
        <w:tc>
          <w:tcPr>
            <w:tcW w:w="1480" w:type="dxa"/>
            <w:vAlign w:val="bottom"/>
            <w:tcBorders>
              <w:top w:val="single" w:sz="8" w:color="auto"/>
            </w:tcBorders>
            <w:gridSpan w:val="2"/>
          </w:tcPr>
          <w:p>
            <w:pPr>
              <w:ind w:left="240"/>
              <w:spacing w:after="0"/>
              <w:rPr>
                <w:sz w:val="20"/>
                <w:szCs w:val="20"/>
                <w:color w:val="auto"/>
              </w:rPr>
            </w:pPr>
            <w:r>
              <w:rPr>
                <w:rFonts w:ascii="Arial" w:cs="Arial" w:eastAsia="Arial" w:hAnsi="Arial"/>
                <w:sz w:val="18"/>
                <w:szCs w:val="18"/>
                <w:color w:val="auto"/>
              </w:rPr>
              <w:t>As Reported</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Constant Currency</w:t>
            </w:r>
          </w:p>
        </w:tc>
      </w:tr>
      <w:tr>
        <w:trPr>
          <w:trHeight w:val="223"/>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w w:val="95"/>
              </w:rPr>
              <w:t>517,469</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444,886</w:t>
            </w:r>
          </w:p>
        </w:tc>
        <w:tc>
          <w:tcPr>
            <w:tcW w:w="12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16 %</w:t>
            </w:r>
          </w:p>
        </w:tc>
      </w:tr>
    </w:tbl>
    <w:p>
      <w:pPr>
        <w:spacing w:after="0" w:line="296" w:lineRule="exact"/>
        <w:rPr>
          <w:sz w:val="20"/>
          <w:szCs w:val="20"/>
          <w:color w:val="auto"/>
        </w:rPr>
      </w:pPr>
    </w:p>
    <w:p>
      <w:pPr>
        <w:ind w:right="160"/>
        <w:spacing w:after="0" w:line="243" w:lineRule="auto"/>
        <w:rPr>
          <w:sz w:val="20"/>
          <w:szCs w:val="20"/>
          <w:color w:val="auto"/>
        </w:rPr>
      </w:pPr>
      <w:r>
        <w:rPr>
          <w:rFonts w:ascii="Arial" w:cs="Arial" w:eastAsia="Arial" w:hAnsi="Arial"/>
          <w:sz w:val="18"/>
          <w:szCs w:val="18"/>
          <w:color w:val="auto"/>
        </w:rPr>
        <w:t>Total revenue increased as compared to the same periods last year primarily due to our acquisition of MarkLogic in February 2023, as well as increases in our OpenEdge and Kemp product offerings. In the third fiscal quarter, these increases were partially offset by a decrease in our DataDirect and Chef product offerings. In the first nine months of fiscal year 2023, there was also an increase in our DataDirect, Sitefinity, DevTools, and Chef product offerings.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80" w:type="dxa"/>
            <w:vAlign w:val="bottom"/>
          </w:tcPr>
          <w:p>
            <w:pPr>
              <w:spacing w:after="0"/>
              <w:rPr>
                <w:sz w:val="20"/>
                <w:szCs w:val="20"/>
                <w:color w:val="auto"/>
              </w:rPr>
            </w:pPr>
            <w:r>
              <w:rPr>
                <w:rFonts w:ascii="Arial" w:cs="Arial" w:eastAsia="Arial" w:hAnsi="Arial"/>
                <w:sz w:val="18"/>
                <w:szCs w:val="18"/>
                <w:i w:val="1"/>
                <w:iCs w:val="1"/>
                <w:color w:val="auto"/>
              </w:rPr>
              <w:t>Software License Revenue</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56"/>
        </w:trPr>
        <w:tc>
          <w:tcPr>
            <w:tcW w:w="49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60" w:type="dxa"/>
            <w:vAlign w:val="bottom"/>
            <w:gridSpan w:val="7"/>
          </w:tcPr>
          <w:p>
            <w:pPr>
              <w:ind w:left="760"/>
              <w:spacing w:after="0"/>
              <w:rPr>
                <w:sz w:val="20"/>
                <w:szCs w:val="20"/>
                <w:color w:val="auto"/>
              </w:rPr>
            </w:pPr>
            <w:r>
              <w:rPr>
                <w:rFonts w:ascii="Arial" w:cs="Arial" w:eastAsia="Arial" w:hAnsi="Arial"/>
                <w:sz w:val="18"/>
                <w:szCs w:val="18"/>
                <w:color w:val="auto"/>
              </w:rPr>
              <w:t>Three Months Ended</w:t>
            </w:r>
          </w:p>
        </w:tc>
        <w:tc>
          <w:tcPr>
            <w:tcW w:w="1800" w:type="dxa"/>
            <w:vAlign w:val="bottom"/>
            <w:gridSpan w:val="3"/>
          </w:tcPr>
          <w:p>
            <w:pPr>
              <w:ind w:left="1060"/>
              <w:spacing w:after="0"/>
              <w:rPr>
                <w:sz w:val="20"/>
                <w:szCs w:val="20"/>
                <w:color w:val="auto"/>
              </w:rPr>
            </w:pPr>
            <w:r>
              <w:rPr>
                <w:rFonts w:ascii="Arial" w:cs="Arial" w:eastAsia="Arial" w:hAnsi="Arial"/>
                <w:sz w:val="18"/>
                <w:szCs w:val="18"/>
                <w:color w:val="auto"/>
                <w:w w:val="85"/>
              </w:rPr>
              <w:t>% Change</w:t>
            </w:r>
          </w:p>
        </w:tc>
        <w:tc>
          <w:tcPr>
            <w:tcW w:w="1040" w:type="dxa"/>
            <w:vAlign w:val="bottom"/>
          </w:tcPr>
          <w:p>
            <w:pPr>
              <w:spacing w:after="0"/>
              <w:rPr>
                <w:sz w:val="22"/>
                <w:szCs w:val="22"/>
                <w:color w:val="auto"/>
              </w:rPr>
            </w:pPr>
          </w:p>
        </w:tc>
      </w:tr>
      <w:tr>
        <w:trPr>
          <w:trHeight w:val="169"/>
        </w:trPr>
        <w:tc>
          <w:tcPr>
            <w:tcW w:w="4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ind w:left="40"/>
              <w:spacing w:after="0" w:line="169" w:lineRule="exact"/>
              <w:rPr>
                <w:sz w:val="20"/>
                <w:szCs w:val="20"/>
                <w:color w:val="auto"/>
              </w:rPr>
            </w:pPr>
            <w:r>
              <w:rPr>
                <w:rFonts w:ascii="Arial" w:cs="Arial" w:eastAsia="Arial" w:hAnsi="Arial"/>
                <w:sz w:val="18"/>
                <w:szCs w:val="18"/>
                <w:color w:val="auto"/>
              </w:rPr>
              <w:t>Constant</w:t>
            </w:r>
          </w:p>
        </w:tc>
      </w:tr>
      <w:tr>
        <w:trPr>
          <w:trHeight w:val="243"/>
        </w:trPr>
        <w:tc>
          <w:tcPr>
            <w:tcW w:w="49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gridSpan w:val="4"/>
          </w:tcPr>
          <w:p>
            <w:pPr>
              <w:ind w:left="60"/>
              <w:spacing w:after="0"/>
              <w:rPr>
                <w:sz w:val="20"/>
                <w:szCs w:val="20"/>
                <w:color w:val="auto"/>
              </w:rPr>
            </w:pPr>
            <w:r>
              <w:rPr>
                <w:rFonts w:ascii="Arial" w:cs="Arial" w:eastAsia="Arial" w:hAnsi="Arial"/>
                <w:sz w:val="18"/>
                <w:szCs w:val="18"/>
                <w:color w:val="auto"/>
              </w:rPr>
              <w:t>August 31, 2023</w:t>
            </w:r>
          </w:p>
        </w:tc>
        <w:tc>
          <w:tcPr>
            <w:tcW w:w="140" w:type="dxa"/>
            <w:vAlign w:val="bottom"/>
          </w:tcPr>
          <w:p>
            <w:pPr>
              <w:spacing w:after="0"/>
              <w:rPr>
                <w:sz w:val="21"/>
                <w:szCs w:val="21"/>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color w:val="auto"/>
              </w:rPr>
              <w:t>August 31, 2022</w:t>
            </w:r>
          </w:p>
        </w:tc>
        <w:tc>
          <w:tcPr>
            <w:tcW w:w="1800" w:type="dxa"/>
            <w:vAlign w:val="bottom"/>
            <w:gridSpan w:val="3"/>
          </w:tcPr>
          <w:p>
            <w:pPr>
              <w:ind w:left="240"/>
              <w:spacing w:after="0"/>
              <w:rPr>
                <w:sz w:val="20"/>
                <w:szCs w:val="20"/>
                <w:color w:val="auto"/>
              </w:rPr>
            </w:pPr>
            <w:r>
              <w:rPr>
                <w:rFonts w:ascii="Arial" w:cs="Arial" w:eastAsia="Arial" w:hAnsi="Arial"/>
                <w:sz w:val="18"/>
                <w:szCs w:val="18"/>
                <w:color w:val="auto"/>
              </w:rPr>
              <w:t>As Reported</w:t>
            </w:r>
          </w:p>
        </w:tc>
        <w:tc>
          <w:tcPr>
            <w:tcW w:w="1040" w:type="dxa"/>
            <w:vAlign w:val="bottom"/>
          </w:tcPr>
          <w:p>
            <w:pPr>
              <w:ind w:left="20"/>
              <w:spacing w:after="0"/>
              <w:rPr>
                <w:sz w:val="20"/>
                <w:szCs w:val="20"/>
                <w:color w:val="auto"/>
              </w:rPr>
            </w:pPr>
            <w:r>
              <w:rPr>
                <w:rFonts w:ascii="Arial" w:cs="Arial" w:eastAsia="Arial" w:hAnsi="Arial"/>
                <w:sz w:val="18"/>
                <w:szCs w:val="18"/>
                <w:color w:val="auto"/>
              </w:rPr>
              <w:t>Currency</w:t>
            </w:r>
          </w:p>
        </w:tc>
      </w:tr>
      <w:tr>
        <w:trPr>
          <w:trHeight w:val="223"/>
        </w:trPr>
        <w:tc>
          <w:tcPr>
            <w:tcW w:w="4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Software licenses</w:t>
            </w: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50,544</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47,618</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4 %</w:t>
            </w: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i w:val="1"/>
                <w:iCs w:val="1"/>
                <w:color w:val="auto"/>
              </w:rPr>
              <w:t>29 %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i w:val="1"/>
                <w:iCs w:val="1"/>
                <w:color w:val="auto"/>
              </w:rPr>
              <w:t>31 %</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593"/>
        </w:trPr>
        <w:tc>
          <w:tcPr>
            <w:tcW w:w="4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60" w:type="dxa"/>
            <w:vAlign w:val="bottom"/>
            <w:gridSpan w:val="7"/>
          </w:tcPr>
          <w:p>
            <w:pPr>
              <w:ind w:left="780"/>
              <w:spacing w:after="0"/>
              <w:rPr>
                <w:sz w:val="20"/>
                <w:szCs w:val="20"/>
                <w:color w:val="auto"/>
              </w:rPr>
            </w:pPr>
            <w:r>
              <w:rPr>
                <w:rFonts w:ascii="Arial" w:cs="Arial" w:eastAsia="Arial" w:hAnsi="Arial"/>
                <w:sz w:val="18"/>
                <w:szCs w:val="18"/>
                <w:color w:val="auto"/>
              </w:rPr>
              <w:t>Nine Months Ended</w:t>
            </w:r>
          </w:p>
        </w:tc>
        <w:tc>
          <w:tcPr>
            <w:tcW w:w="1800" w:type="dxa"/>
            <w:vAlign w:val="bottom"/>
            <w:gridSpan w:val="3"/>
          </w:tcPr>
          <w:p>
            <w:pPr>
              <w:ind w:left="1060"/>
              <w:spacing w:after="0"/>
              <w:rPr>
                <w:sz w:val="20"/>
                <w:szCs w:val="20"/>
                <w:color w:val="auto"/>
              </w:rPr>
            </w:pPr>
            <w:r>
              <w:rPr>
                <w:rFonts w:ascii="Arial" w:cs="Arial" w:eastAsia="Arial" w:hAnsi="Arial"/>
                <w:sz w:val="18"/>
                <w:szCs w:val="18"/>
                <w:color w:val="auto"/>
                <w:w w:val="85"/>
              </w:rPr>
              <w:t>% Change</w:t>
            </w:r>
          </w:p>
        </w:tc>
        <w:tc>
          <w:tcPr>
            <w:tcW w:w="1040" w:type="dxa"/>
            <w:vAlign w:val="bottom"/>
          </w:tcPr>
          <w:p>
            <w:pPr>
              <w:spacing w:after="0"/>
              <w:rPr>
                <w:sz w:val="24"/>
                <w:szCs w:val="24"/>
                <w:color w:val="auto"/>
              </w:rPr>
            </w:pPr>
          </w:p>
        </w:tc>
      </w:tr>
      <w:tr>
        <w:trPr>
          <w:trHeight w:val="169"/>
        </w:trPr>
        <w:tc>
          <w:tcPr>
            <w:tcW w:w="498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ind w:left="40"/>
              <w:spacing w:after="0" w:line="169" w:lineRule="exact"/>
              <w:rPr>
                <w:sz w:val="20"/>
                <w:szCs w:val="20"/>
                <w:color w:val="auto"/>
              </w:rPr>
            </w:pPr>
            <w:r>
              <w:rPr>
                <w:rFonts w:ascii="Arial" w:cs="Arial" w:eastAsia="Arial" w:hAnsi="Arial"/>
                <w:sz w:val="18"/>
                <w:szCs w:val="18"/>
                <w:color w:val="auto"/>
              </w:rPr>
              <w:t>Constant</w:t>
            </w:r>
          </w:p>
        </w:tc>
      </w:tr>
      <w:tr>
        <w:trPr>
          <w:trHeight w:val="243"/>
        </w:trPr>
        <w:tc>
          <w:tcPr>
            <w:tcW w:w="49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gridSpan w:val="4"/>
          </w:tcPr>
          <w:p>
            <w:pPr>
              <w:ind w:left="40"/>
              <w:spacing w:after="0"/>
              <w:rPr>
                <w:sz w:val="20"/>
                <w:szCs w:val="20"/>
                <w:color w:val="auto"/>
              </w:rPr>
            </w:pPr>
            <w:r>
              <w:rPr>
                <w:rFonts w:ascii="Arial" w:cs="Arial" w:eastAsia="Arial" w:hAnsi="Arial"/>
                <w:sz w:val="18"/>
                <w:szCs w:val="18"/>
                <w:color w:val="auto"/>
              </w:rPr>
              <w:t>August 31, 2023</w:t>
            </w:r>
          </w:p>
        </w:tc>
        <w:tc>
          <w:tcPr>
            <w:tcW w:w="140" w:type="dxa"/>
            <w:vAlign w:val="bottom"/>
          </w:tcPr>
          <w:p>
            <w:pPr>
              <w:spacing w:after="0"/>
              <w:rPr>
                <w:sz w:val="21"/>
                <w:szCs w:val="21"/>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color w:val="auto"/>
              </w:rPr>
              <w:t>August 31, 2022</w:t>
            </w:r>
          </w:p>
        </w:tc>
        <w:tc>
          <w:tcPr>
            <w:tcW w:w="1800" w:type="dxa"/>
            <w:vAlign w:val="bottom"/>
            <w:gridSpan w:val="3"/>
          </w:tcPr>
          <w:p>
            <w:pPr>
              <w:ind w:left="240"/>
              <w:spacing w:after="0"/>
              <w:rPr>
                <w:sz w:val="20"/>
                <w:szCs w:val="20"/>
                <w:color w:val="auto"/>
              </w:rPr>
            </w:pPr>
            <w:r>
              <w:rPr>
                <w:rFonts w:ascii="Arial" w:cs="Arial" w:eastAsia="Arial" w:hAnsi="Arial"/>
                <w:sz w:val="18"/>
                <w:szCs w:val="18"/>
                <w:color w:val="auto"/>
              </w:rPr>
              <w:t>As Reported</w:t>
            </w:r>
          </w:p>
        </w:tc>
        <w:tc>
          <w:tcPr>
            <w:tcW w:w="1040" w:type="dxa"/>
            <w:vAlign w:val="bottom"/>
          </w:tcPr>
          <w:p>
            <w:pPr>
              <w:ind w:left="20"/>
              <w:spacing w:after="0"/>
              <w:rPr>
                <w:sz w:val="20"/>
                <w:szCs w:val="20"/>
                <w:color w:val="auto"/>
              </w:rPr>
            </w:pPr>
            <w:r>
              <w:rPr>
                <w:rFonts w:ascii="Arial" w:cs="Arial" w:eastAsia="Arial" w:hAnsi="Arial"/>
                <w:sz w:val="18"/>
                <w:szCs w:val="18"/>
                <w:color w:val="auto"/>
              </w:rPr>
              <w:t>Currency</w:t>
            </w:r>
          </w:p>
        </w:tc>
      </w:tr>
      <w:tr>
        <w:trPr>
          <w:trHeight w:val="223"/>
        </w:trPr>
        <w:tc>
          <w:tcPr>
            <w:tcW w:w="4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Software licenses</w:t>
            </w: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164,519</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135,182</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22 %</w:t>
            </w: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i w:val="1"/>
                <w:iCs w:val="1"/>
                <w:color w:val="auto"/>
              </w:rPr>
              <w:t>32 %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i w:val="1"/>
                <w:iCs w:val="1"/>
                <w:color w:val="auto"/>
              </w:rPr>
              <w:t>30 %</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bl>
    <w:p>
      <w:pPr>
        <w:spacing w:after="0" w:line="309"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Software license revenue increased as compared to the same periods last year primarily due to our acquisition of MarkLogic in February 2023, as well as increases in our OpenEdge and Kemp product offerings. In the third fiscal quarter, these increases were partially offset by decreases in our DataDirect and Chef product offerings. In the first nine months of fiscal year 2023, there was also an increase in our DataDirect product offerings.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Maintenance and Services Revenue</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Three Months Ended</w:t>
            </w:r>
          </w:p>
        </w:tc>
        <w:tc>
          <w:tcPr>
            <w:tcW w:w="8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Borders>
              <w:bottom w:val="single" w:sz="8" w:color="auto"/>
            </w:tcBorders>
            <w:gridSpan w:val="3"/>
          </w:tcPr>
          <w:p>
            <w:pPr>
              <w:ind w:left="1040"/>
              <w:spacing w:after="0"/>
              <w:rPr>
                <w:sz w:val="20"/>
                <w:szCs w:val="20"/>
                <w:color w:val="auto"/>
              </w:rPr>
            </w:pPr>
            <w:r>
              <w:rPr>
                <w:rFonts w:ascii="Arial" w:cs="Arial" w:eastAsia="Arial" w:hAnsi="Arial"/>
                <w:sz w:val="18"/>
                <w:szCs w:val="18"/>
                <w:color w:val="auto"/>
                <w:w w:val="87"/>
              </w:rPr>
              <w:t>% Change</w:t>
            </w: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270"/>
              <w:spacing w:after="0" w:line="169" w:lineRule="exact"/>
              <w:rPr>
                <w:sz w:val="20"/>
                <w:szCs w:val="20"/>
                <w:color w:val="auto"/>
              </w:rPr>
            </w:pPr>
            <w:r>
              <w:rPr>
                <w:rFonts w:ascii="Arial" w:cs="Arial" w:eastAsia="Arial" w:hAnsi="Arial"/>
                <w:sz w:val="18"/>
                <w:szCs w:val="18"/>
                <w:color w:val="auto"/>
                <w:w w:val="91"/>
              </w:rPr>
              <w:t>Constant</w:t>
            </w:r>
          </w:p>
        </w:tc>
        <w:tc>
          <w:tcPr>
            <w:tcW w:w="0" w:type="dxa"/>
            <w:vAlign w:val="bottom"/>
          </w:tcPr>
          <w:p>
            <w:pPr>
              <w:spacing w:after="0"/>
              <w:rPr>
                <w:sz w:val="1"/>
                <w:szCs w:val="1"/>
                <w:color w:val="auto"/>
              </w:rPr>
            </w:pPr>
          </w:p>
        </w:tc>
      </w:tr>
      <w:tr>
        <w:trPr>
          <w:trHeight w:val="243"/>
        </w:trPr>
        <w:tc>
          <w:tcPr>
            <w:tcW w:w="49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21"/>
                <w:szCs w:val="21"/>
                <w:color w:val="auto"/>
              </w:rPr>
            </w:pPr>
          </w:p>
        </w:tc>
        <w:tc>
          <w:tcPr>
            <w:tcW w:w="1560" w:type="dxa"/>
            <w:vAlign w:val="bottom"/>
            <w:gridSpan w:val="2"/>
          </w:tcPr>
          <w:p>
            <w:pPr>
              <w:ind w:left="40"/>
              <w:spacing w:after="0"/>
              <w:rPr>
                <w:sz w:val="20"/>
                <w:szCs w:val="20"/>
                <w:color w:val="auto"/>
              </w:rPr>
            </w:pPr>
            <w:r>
              <w:rPr>
                <w:rFonts w:ascii="Arial" w:cs="Arial" w:eastAsia="Arial" w:hAnsi="Arial"/>
                <w:sz w:val="18"/>
                <w:szCs w:val="18"/>
                <w:color w:val="auto"/>
              </w:rPr>
              <w:t>August 31, 2023</w:t>
            </w:r>
          </w:p>
        </w:tc>
        <w:tc>
          <w:tcPr>
            <w:tcW w:w="1600" w:type="dxa"/>
            <w:vAlign w:val="bottom"/>
            <w:gridSpan w:val="2"/>
          </w:tcPr>
          <w:p>
            <w:pPr>
              <w:jc w:val="right"/>
              <w:ind w:right="110"/>
              <w:spacing w:after="0"/>
              <w:rPr>
                <w:sz w:val="20"/>
                <w:szCs w:val="20"/>
                <w:color w:val="auto"/>
              </w:rPr>
            </w:pPr>
            <w:r>
              <w:rPr>
                <w:rFonts w:ascii="Arial" w:cs="Arial" w:eastAsia="Arial" w:hAnsi="Arial"/>
                <w:sz w:val="18"/>
                <w:szCs w:val="18"/>
                <w:color w:val="auto"/>
              </w:rPr>
              <w:t>August 31, 2022</w:t>
            </w:r>
          </w:p>
        </w:tc>
        <w:tc>
          <w:tcPr>
            <w:tcW w:w="120" w:type="dxa"/>
            <w:vAlign w:val="bottom"/>
          </w:tcPr>
          <w:p>
            <w:pPr>
              <w:spacing w:after="0"/>
              <w:rPr>
                <w:sz w:val="21"/>
                <w:szCs w:val="21"/>
                <w:color w:val="auto"/>
              </w:rPr>
            </w:pPr>
          </w:p>
        </w:tc>
        <w:tc>
          <w:tcPr>
            <w:tcW w:w="1800" w:type="dxa"/>
            <w:vAlign w:val="bottom"/>
            <w:gridSpan w:val="3"/>
          </w:tcPr>
          <w:p>
            <w:pPr>
              <w:ind w:left="220"/>
              <w:spacing w:after="0"/>
              <w:rPr>
                <w:sz w:val="20"/>
                <w:szCs w:val="20"/>
                <w:color w:val="auto"/>
              </w:rPr>
            </w:pPr>
            <w:r>
              <w:rPr>
                <w:rFonts w:ascii="Arial" w:cs="Arial" w:eastAsia="Arial" w:hAnsi="Arial"/>
                <w:sz w:val="18"/>
                <w:szCs w:val="18"/>
                <w:color w:val="auto"/>
              </w:rPr>
              <w:t>As Reported</w:t>
            </w:r>
          </w:p>
        </w:tc>
        <w:tc>
          <w:tcPr>
            <w:tcW w:w="1040" w:type="dxa"/>
            <w:vAlign w:val="bottom"/>
          </w:tcPr>
          <w:p>
            <w:pPr>
              <w:jc w:val="right"/>
              <w:ind w:right="250"/>
              <w:spacing w:after="0"/>
              <w:rPr>
                <w:sz w:val="20"/>
                <w:szCs w:val="20"/>
                <w:color w:val="auto"/>
              </w:rPr>
            </w:pPr>
            <w:r>
              <w:rPr>
                <w:rFonts w:ascii="Arial" w:cs="Arial" w:eastAsia="Arial" w:hAnsi="Arial"/>
                <w:sz w:val="18"/>
                <w:szCs w:val="18"/>
                <w:color w:val="auto"/>
                <w:w w:val="93"/>
              </w:rPr>
              <w:t>Currency</w:t>
            </w:r>
          </w:p>
        </w:tc>
        <w:tc>
          <w:tcPr>
            <w:tcW w:w="0" w:type="dxa"/>
            <w:vAlign w:val="bottom"/>
          </w:tcPr>
          <w:p>
            <w:pPr>
              <w:spacing w:after="0"/>
              <w:rPr>
                <w:sz w:val="1"/>
                <w:szCs w:val="1"/>
                <w:color w:val="auto"/>
              </w:rPr>
            </w:pPr>
          </w:p>
        </w:tc>
      </w:tr>
      <w:tr>
        <w:trPr>
          <w:trHeight w:val="223"/>
        </w:trPr>
        <w:tc>
          <w:tcPr>
            <w:tcW w:w="4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Maintenance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105,164</w:t>
            </w:r>
          </w:p>
        </w:tc>
        <w:tc>
          <w:tcPr>
            <w:tcW w:w="12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91,043</w:t>
            </w:r>
          </w:p>
        </w:tc>
        <w:tc>
          <w:tcPr>
            <w:tcW w:w="12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29"/>
        </w:trPr>
        <w:tc>
          <w:tcPr>
            <w:tcW w:w="496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i w:val="1"/>
                <w:iCs w:val="1"/>
                <w:color w:val="auto"/>
              </w:rPr>
              <w:t>60 %</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i w:val="1"/>
                <w:iCs w:val="1"/>
                <w:color w:val="auto"/>
              </w:rPr>
              <w:t>60 %</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19,284</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12,556</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52 %</w:t>
            </w:r>
          </w:p>
        </w:tc>
        <w:tc>
          <w:tcPr>
            <w:tcW w:w="0" w:type="dxa"/>
            <w:vAlign w:val="bottom"/>
          </w:tcPr>
          <w:p>
            <w:pPr>
              <w:spacing w:after="0"/>
              <w:rPr>
                <w:sz w:val="1"/>
                <w:szCs w:val="1"/>
                <w:color w:val="auto"/>
              </w:rPr>
            </w:pPr>
          </w:p>
        </w:tc>
      </w:tr>
      <w:tr>
        <w:trPr>
          <w:trHeight w:val="230"/>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11 %</w:t>
            </w:r>
          </w:p>
        </w:tc>
        <w:tc>
          <w:tcPr>
            <w:tcW w:w="1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9 %</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maintenance and services revenue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124,448</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2"/>
              </w:rPr>
              <w:t>103,599</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9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right"/>
              <w:spacing w:after="0" w:line="204" w:lineRule="exact"/>
              <w:rPr>
                <w:sz w:val="20"/>
                <w:szCs w:val="20"/>
                <w:color w:val="auto"/>
              </w:rPr>
            </w:pPr>
            <w:r>
              <w:rPr>
                <w:rFonts w:ascii="Arial" w:cs="Arial" w:eastAsia="Arial" w:hAnsi="Arial"/>
                <w:sz w:val="18"/>
                <w:szCs w:val="18"/>
                <w:i w:val="1"/>
                <w:iCs w:val="1"/>
                <w:color w:val="auto"/>
              </w:rPr>
              <w:t>71 %</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jc w:val="right"/>
              <w:spacing w:after="0" w:line="204" w:lineRule="exact"/>
              <w:rPr>
                <w:sz w:val="20"/>
                <w:szCs w:val="20"/>
                <w:color w:val="auto"/>
              </w:rPr>
            </w:pPr>
            <w:r>
              <w:rPr>
                <w:rFonts w:ascii="Arial" w:cs="Arial" w:eastAsia="Arial" w:hAnsi="Arial"/>
                <w:sz w:val="18"/>
                <w:szCs w:val="18"/>
                <w:i w:val="1"/>
                <w:iCs w:val="1"/>
                <w:color w:val="auto"/>
              </w:rPr>
              <w:t>69 %</w:t>
            </w: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3" w:name="page24"/>
    <w:bookmarkEnd w:id="23"/>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(In thousands)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Maintenance</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As a percentage of total revenue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Services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As a percentage of total revenue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5"/>
          <w:szCs w:val="15"/>
          <w:color w:val="auto"/>
        </w:rPr>
        <w:t>Total maintenance and services revenue</w:t>
      </w:r>
    </w:p>
    <w:p>
      <w:pPr>
        <w:spacing w:after="0" w:line="9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As a percentage of total revenue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6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Nine Months Ended</w:t>
            </w:r>
          </w:p>
        </w:tc>
        <w:tc>
          <w:tcPr>
            <w:tcW w:w="8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Borders>
              <w:bottom w:val="single" w:sz="8" w:color="auto"/>
            </w:tcBorders>
            <w:gridSpan w:val="3"/>
          </w:tcPr>
          <w:p>
            <w:pPr>
              <w:ind w:left="1040"/>
              <w:spacing w:after="0"/>
              <w:rPr>
                <w:sz w:val="20"/>
                <w:szCs w:val="20"/>
                <w:color w:val="auto"/>
              </w:rPr>
            </w:pPr>
            <w:r>
              <w:rPr>
                <w:rFonts w:ascii="Arial" w:cs="Arial" w:eastAsia="Arial" w:hAnsi="Arial"/>
                <w:sz w:val="18"/>
                <w:szCs w:val="18"/>
                <w:color w:val="auto"/>
                <w:w w:val="87"/>
              </w:rPr>
              <w:t>% Change</w:t>
            </w:r>
          </w:p>
        </w:tc>
        <w:tc>
          <w:tcPr>
            <w:tcW w:w="1040" w:type="dxa"/>
            <w:vAlign w:val="bottom"/>
            <w:tcBorders>
              <w:bottom w:val="single" w:sz="8" w:color="auto"/>
            </w:tcBorders>
          </w:tcPr>
          <w:p>
            <w:pPr>
              <w:spacing w:after="0"/>
              <w:rPr>
                <w:sz w:val="20"/>
                <w:szCs w:val="20"/>
                <w:color w:val="auto"/>
              </w:rPr>
            </w:pPr>
          </w:p>
        </w:tc>
      </w:tr>
      <w:tr>
        <w:trPr>
          <w:trHeight w:val="169"/>
        </w:trPr>
        <w:tc>
          <w:tcPr>
            <w:tcW w:w="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270"/>
              <w:spacing w:after="0" w:line="169" w:lineRule="exact"/>
              <w:rPr>
                <w:sz w:val="20"/>
                <w:szCs w:val="20"/>
                <w:color w:val="auto"/>
              </w:rPr>
            </w:pPr>
            <w:r>
              <w:rPr>
                <w:rFonts w:ascii="Arial" w:cs="Arial" w:eastAsia="Arial" w:hAnsi="Arial"/>
                <w:sz w:val="18"/>
                <w:szCs w:val="18"/>
                <w:color w:val="auto"/>
                <w:w w:val="91"/>
              </w:rPr>
              <w:t>Constant</w:t>
            </w:r>
          </w:p>
        </w:tc>
      </w:tr>
      <w:tr>
        <w:trPr>
          <w:trHeight w:val="243"/>
        </w:trPr>
        <w:tc>
          <w:tcPr>
            <w:tcW w:w="160" w:type="dxa"/>
            <w:vAlign w:val="bottom"/>
          </w:tcPr>
          <w:p>
            <w:pPr>
              <w:spacing w:after="0"/>
              <w:rPr>
                <w:sz w:val="21"/>
                <w:szCs w:val="21"/>
                <w:color w:val="auto"/>
              </w:rPr>
            </w:pPr>
          </w:p>
        </w:tc>
        <w:tc>
          <w:tcPr>
            <w:tcW w:w="1560" w:type="dxa"/>
            <w:vAlign w:val="bottom"/>
            <w:gridSpan w:val="2"/>
          </w:tcPr>
          <w:p>
            <w:pPr>
              <w:ind w:left="40"/>
              <w:spacing w:after="0"/>
              <w:rPr>
                <w:sz w:val="20"/>
                <w:szCs w:val="20"/>
                <w:color w:val="auto"/>
              </w:rPr>
            </w:pPr>
            <w:r>
              <w:rPr>
                <w:rFonts w:ascii="Arial" w:cs="Arial" w:eastAsia="Arial" w:hAnsi="Arial"/>
                <w:sz w:val="18"/>
                <w:szCs w:val="18"/>
                <w:color w:val="auto"/>
              </w:rPr>
              <w:t>August 31, 2023</w:t>
            </w:r>
          </w:p>
        </w:tc>
        <w:tc>
          <w:tcPr>
            <w:tcW w:w="1600" w:type="dxa"/>
            <w:vAlign w:val="bottom"/>
            <w:gridSpan w:val="2"/>
          </w:tcPr>
          <w:p>
            <w:pPr>
              <w:jc w:val="right"/>
              <w:ind w:right="110"/>
              <w:spacing w:after="0"/>
              <w:rPr>
                <w:sz w:val="20"/>
                <w:szCs w:val="20"/>
                <w:color w:val="auto"/>
              </w:rPr>
            </w:pPr>
            <w:r>
              <w:rPr>
                <w:rFonts w:ascii="Arial" w:cs="Arial" w:eastAsia="Arial" w:hAnsi="Arial"/>
                <w:sz w:val="18"/>
                <w:szCs w:val="18"/>
                <w:color w:val="auto"/>
              </w:rPr>
              <w:t>August 31, 2022</w:t>
            </w:r>
          </w:p>
        </w:tc>
        <w:tc>
          <w:tcPr>
            <w:tcW w:w="120" w:type="dxa"/>
            <w:vAlign w:val="bottom"/>
          </w:tcPr>
          <w:p>
            <w:pPr>
              <w:spacing w:after="0"/>
              <w:rPr>
                <w:sz w:val="21"/>
                <w:szCs w:val="21"/>
                <w:color w:val="auto"/>
              </w:rPr>
            </w:pPr>
          </w:p>
        </w:tc>
        <w:tc>
          <w:tcPr>
            <w:tcW w:w="1800" w:type="dxa"/>
            <w:vAlign w:val="bottom"/>
            <w:gridSpan w:val="3"/>
          </w:tcPr>
          <w:p>
            <w:pPr>
              <w:ind w:left="220"/>
              <w:spacing w:after="0"/>
              <w:rPr>
                <w:sz w:val="20"/>
                <w:szCs w:val="20"/>
                <w:color w:val="auto"/>
              </w:rPr>
            </w:pPr>
            <w:r>
              <w:rPr>
                <w:rFonts w:ascii="Arial" w:cs="Arial" w:eastAsia="Arial" w:hAnsi="Arial"/>
                <w:sz w:val="18"/>
                <w:szCs w:val="18"/>
                <w:color w:val="auto"/>
              </w:rPr>
              <w:t>As Reported</w:t>
            </w:r>
          </w:p>
        </w:tc>
        <w:tc>
          <w:tcPr>
            <w:tcW w:w="1040" w:type="dxa"/>
            <w:vAlign w:val="bottom"/>
          </w:tcPr>
          <w:p>
            <w:pPr>
              <w:jc w:val="right"/>
              <w:ind w:right="250"/>
              <w:spacing w:after="0"/>
              <w:rPr>
                <w:sz w:val="20"/>
                <w:szCs w:val="20"/>
                <w:color w:val="auto"/>
              </w:rPr>
            </w:pPr>
            <w:r>
              <w:rPr>
                <w:rFonts w:ascii="Arial" w:cs="Arial" w:eastAsia="Arial" w:hAnsi="Arial"/>
                <w:sz w:val="18"/>
                <w:szCs w:val="18"/>
                <w:color w:val="auto"/>
                <w:w w:val="93"/>
              </w:rPr>
              <w:t>Currency</w:t>
            </w:r>
          </w:p>
        </w:tc>
      </w:tr>
      <w:tr>
        <w:trPr>
          <w:trHeight w:val="222"/>
        </w:trPr>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299,917</w:t>
            </w:r>
          </w:p>
        </w:tc>
        <w:tc>
          <w:tcPr>
            <w:tcW w:w="120" w:type="dxa"/>
            <w:vAlign w:val="bottom"/>
          </w:tcPr>
          <w:p>
            <w:pPr>
              <w:spacing w:after="0"/>
              <w:rPr>
                <w:sz w:val="19"/>
                <w:szCs w:val="19"/>
                <w:color w:val="auto"/>
              </w:rPr>
            </w:pPr>
          </w:p>
        </w:tc>
        <w:tc>
          <w:tcPr>
            <w:tcW w:w="74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5"/>
              </w:rPr>
              <w:t>272,337</w:t>
            </w:r>
          </w:p>
        </w:tc>
        <w:tc>
          <w:tcPr>
            <w:tcW w:w="120" w:type="dxa"/>
            <w:vAlign w:val="bottom"/>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10 %</w:t>
            </w: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10 %</w:t>
            </w:r>
          </w:p>
        </w:tc>
      </w:tr>
      <w:tr>
        <w:trPr>
          <w:trHeight w:val="229"/>
        </w:trPr>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i w:val="1"/>
                <w:iCs w:val="1"/>
                <w:color w:val="auto"/>
              </w:rPr>
              <w:t>58 %</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i w:val="1"/>
                <w:iCs w:val="1"/>
                <w:color w:val="auto"/>
              </w:rPr>
              <w:t>61 %</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160" w:type="dxa"/>
            <w:vAlign w:val="bottom"/>
          </w:tcPr>
          <w:p>
            <w:pPr>
              <w:spacing w:after="0"/>
              <w:rPr>
                <w:sz w:val="19"/>
                <w:szCs w:val="19"/>
                <w:color w:val="auto"/>
              </w:rPr>
            </w:pP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53,033</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37,367</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42 %</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42 %</w:t>
            </w:r>
          </w:p>
        </w:tc>
      </w:tr>
      <w:tr>
        <w:trPr>
          <w:trHeight w:val="230"/>
        </w:trPr>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10 %</w:t>
            </w:r>
          </w:p>
        </w:tc>
        <w:tc>
          <w:tcPr>
            <w:tcW w:w="12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9 %</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23"/>
        </w:trPr>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352,950</w:t>
            </w:r>
          </w:p>
        </w:tc>
        <w:tc>
          <w:tcPr>
            <w:tcW w:w="120" w:type="dxa"/>
            <w:vAlign w:val="bottom"/>
          </w:tcPr>
          <w:p>
            <w:pPr>
              <w:spacing w:after="0"/>
              <w:rPr>
                <w:sz w:val="19"/>
                <w:szCs w:val="19"/>
                <w:color w:val="auto"/>
              </w:rPr>
            </w:pPr>
          </w:p>
        </w:tc>
        <w:tc>
          <w:tcPr>
            <w:tcW w:w="7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5"/>
              </w:rPr>
              <w:t>309,704</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14 %</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14 %</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24"/>
        </w:trPr>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i w:val="1"/>
                <w:iCs w:val="1"/>
                <w:color w:val="auto"/>
              </w:rPr>
              <w:t>68 %</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i w:val="1"/>
                <w:iCs w:val="1"/>
                <w:color w:val="auto"/>
              </w:rPr>
              <w:t>70 %</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-925830</wp:posOffset>
            </wp:positionV>
            <wp:extent cx="7132320"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-625475</wp:posOffset>
            </wp:positionV>
            <wp:extent cx="7132320"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-334010</wp:posOffset>
            </wp:positionV>
            <wp:extent cx="71323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40" w:space="720"/>
            <w:col w:w="6280"/>
          </w:cols>
          <w:pgMar w:left="320" w:top="935" w:right="339" w:bottom="1440" w:gutter="0" w:footer="0" w:header="0"/>
        </w:sectPr>
      </w:pPr>
    </w:p>
    <w:p>
      <w:pPr>
        <w:spacing w:after="0" w:line="12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Maintenance revenue increased as compared to the same periods last year primarily due to our acquisition of MarkLogic in February 2023, as well as increases in our OpenEdge and Chef product offerings. Services revenue increased as compared to the same periods last year primarily due to increased services revenue from our acquisition of MarkLogic, partially offset by a decrease in our Chef product offerings. The maintenance increase in the third quarter of fiscal year 2023 was also due to the positive impact of foreign exchange in our EMEA region. The maintenance increase in the first nine months of fiscal year 2023 was partially offset by a decrease in our Kemp product offerings. The services increase in the first nine months of fiscal year 2023 was also due to increases in our Sitefinity and DevTools product offerings.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40" w:type="dxa"/>
            <w:vAlign w:val="bottom"/>
          </w:tcPr>
          <w:p>
            <w:pPr>
              <w:spacing w:after="0"/>
              <w:rPr>
                <w:sz w:val="20"/>
                <w:szCs w:val="20"/>
                <w:color w:val="auto"/>
              </w:rPr>
            </w:pPr>
            <w:r>
              <w:rPr>
                <w:rFonts w:ascii="Arial" w:cs="Arial" w:eastAsia="Arial" w:hAnsi="Arial"/>
                <w:sz w:val="18"/>
                <w:szCs w:val="18"/>
                <w:i w:val="1"/>
                <w:iCs w:val="1"/>
                <w:color w:val="auto"/>
              </w:rPr>
              <w:t>Revenue by Region</w:t>
            </w: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56"/>
        </w:trPr>
        <w:tc>
          <w:tcPr>
            <w:tcW w:w="47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460" w:type="dxa"/>
            <w:vAlign w:val="bottom"/>
            <w:tcBorders>
              <w:bottom w:val="single" w:sz="8" w:color="auto"/>
            </w:tcBorders>
            <w:gridSpan w:val="5"/>
          </w:tcPr>
          <w:p>
            <w:pPr>
              <w:jc w:val="right"/>
              <w:ind w:right="37"/>
              <w:spacing w:after="0"/>
              <w:rPr>
                <w:sz w:val="20"/>
                <w:szCs w:val="20"/>
                <w:color w:val="auto"/>
              </w:rPr>
            </w:pPr>
            <w:r>
              <w:rPr>
                <w:rFonts w:ascii="Arial" w:cs="Arial" w:eastAsia="Arial" w:hAnsi="Arial"/>
                <w:sz w:val="18"/>
                <w:szCs w:val="18"/>
                <w:color w:val="auto"/>
              </w:rPr>
              <w:t>Three Months Ended</w:t>
            </w:r>
          </w:p>
        </w:tc>
        <w:tc>
          <w:tcPr>
            <w:tcW w:w="9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0" w:type="dxa"/>
            <w:vAlign w:val="bottom"/>
            <w:tcBorders>
              <w:bottom w:val="single" w:sz="8" w:color="auto"/>
            </w:tcBorders>
            <w:gridSpan w:val="3"/>
          </w:tcPr>
          <w:p>
            <w:pPr>
              <w:ind w:left="1040"/>
              <w:spacing w:after="0"/>
              <w:rPr>
                <w:sz w:val="20"/>
                <w:szCs w:val="20"/>
                <w:color w:val="auto"/>
              </w:rPr>
            </w:pPr>
            <w:r>
              <w:rPr>
                <w:rFonts w:ascii="Arial" w:cs="Arial" w:eastAsia="Arial" w:hAnsi="Arial"/>
                <w:sz w:val="18"/>
                <w:szCs w:val="18"/>
                <w:color w:val="auto"/>
                <w:w w:val="87"/>
              </w:rPr>
              <w:t>% Change</w:t>
            </w:r>
          </w:p>
        </w:tc>
        <w:tc>
          <w:tcPr>
            <w:tcW w:w="1040" w:type="dxa"/>
            <w:vAlign w:val="bottom"/>
            <w:tcBorders>
              <w:bottom w:val="single" w:sz="8" w:color="auto"/>
            </w:tcBorders>
          </w:tcPr>
          <w:p>
            <w:pPr>
              <w:spacing w:after="0"/>
              <w:rPr>
                <w:sz w:val="22"/>
                <w:szCs w:val="22"/>
                <w:color w:val="auto"/>
              </w:rPr>
            </w:pPr>
          </w:p>
        </w:tc>
      </w:tr>
      <w:tr>
        <w:trPr>
          <w:trHeight w:val="169"/>
        </w:trPr>
        <w:tc>
          <w:tcPr>
            <w:tcW w:w="4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ind w:left="40"/>
              <w:spacing w:after="0" w:line="169" w:lineRule="exact"/>
              <w:rPr>
                <w:sz w:val="20"/>
                <w:szCs w:val="20"/>
                <w:color w:val="auto"/>
              </w:rPr>
            </w:pPr>
            <w:r>
              <w:rPr>
                <w:rFonts w:ascii="Arial" w:cs="Arial" w:eastAsia="Arial" w:hAnsi="Arial"/>
                <w:sz w:val="18"/>
                <w:szCs w:val="18"/>
                <w:color w:val="auto"/>
              </w:rPr>
              <w:t>Constant</w:t>
            </w:r>
          </w:p>
        </w:tc>
      </w:tr>
      <w:tr>
        <w:trPr>
          <w:trHeight w:val="243"/>
        </w:trPr>
        <w:tc>
          <w:tcPr>
            <w:tcW w:w="47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21"/>
                <w:szCs w:val="21"/>
                <w:color w:val="auto"/>
              </w:rPr>
            </w:pPr>
          </w:p>
        </w:tc>
        <w:tc>
          <w:tcPr>
            <w:tcW w:w="1660" w:type="dxa"/>
            <w:vAlign w:val="bottom"/>
            <w:gridSpan w:val="4"/>
          </w:tcPr>
          <w:p>
            <w:pPr>
              <w:ind w:left="80"/>
              <w:spacing w:after="0"/>
              <w:rPr>
                <w:sz w:val="20"/>
                <w:szCs w:val="20"/>
                <w:color w:val="auto"/>
              </w:rPr>
            </w:pPr>
            <w:r>
              <w:rPr>
                <w:rFonts w:ascii="Arial" w:cs="Arial" w:eastAsia="Arial" w:hAnsi="Arial"/>
                <w:sz w:val="18"/>
                <w:szCs w:val="18"/>
                <w:color w:val="auto"/>
              </w:rPr>
              <w:t>August 31, 2023</w:t>
            </w:r>
          </w:p>
        </w:tc>
        <w:tc>
          <w:tcPr>
            <w:tcW w:w="1820" w:type="dxa"/>
            <w:vAlign w:val="bottom"/>
            <w:gridSpan w:val="3"/>
          </w:tcPr>
          <w:p>
            <w:pPr>
              <w:ind w:left="240"/>
              <w:spacing w:after="0"/>
              <w:rPr>
                <w:sz w:val="20"/>
                <w:szCs w:val="20"/>
                <w:color w:val="auto"/>
              </w:rPr>
            </w:pPr>
            <w:r>
              <w:rPr>
                <w:rFonts w:ascii="Arial" w:cs="Arial" w:eastAsia="Arial" w:hAnsi="Arial"/>
                <w:sz w:val="18"/>
                <w:szCs w:val="18"/>
                <w:color w:val="auto"/>
              </w:rPr>
              <w:t>August 31, 2022</w:t>
            </w:r>
          </w:p>
        </w:tc>
        <w:tc>
          <w:tcPr>
            <w:tcW w:w="1800" w:type="dxa"/>
            <w:vAlign w:val="bottom"/>
            <w:gridSpan w:val="3"/>
          </w:tcPr>
          <w:p>
            <w:pPr>
              <w:ind w:left="220"/>
              <w:spacing w:after="0"/>
              <w:rPr>
                <w:sz w:val="20"/>
                <w:szCs w:val="20"/>
                <w:color w:val="auto"/>
              </w:rPr>
            </w:pPr>
            <w:r>
              <w:rPr>
                <w:rFonts w:ascii="Arial" w:cs="Arial" w:eastAsia="Arial" w:hAnsi="Arial"/>
                <w:sz w:val="18"/>
                <w:szCs w:val="18"/>
                <w:color w:val="auto"/>
              </w:rPr>
              <w:t>As Reported</w:t>
            </w:r>
          </w:p>
        </w:tc>
        <w:tc>
          <w:tcPr>
            <w:tcW w:w="1040" w:type="dxa"/>
            <w:vAlign w:val="bottom"/>
          </w:tcPr>
          <w:p>
            <w:pPr>
              <w:ind w:left="20"/>
              <w:spacing w:after="0"/>
              <w:rPr>
                <w:sz w:val="20"/>
                <w:szCs w:val="20"/>
                <w:color w:val="auto"/>
              </w:rPr>
            </w:pPr>
            <w:r>
              <w:rPr>
                <w:rFonts w:ascii="Arial" w:cs="Arial" w:eastAsia="Arial" w:hAnsi="Arial"/>
                <w:sz w:val="18"/>
                <w:szCs w:val="18"/>
                <w:color w:val="auto"/>
              </w:rPr>
              <w:t>Currency</w:t>
            </w:r>
          </w:p>
        </w:tc>
      </w:tr>
      <w:tr>
        <w:trPr>
          <w:trHeight w:val="223"/>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101,923</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ind w:right="617"/>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84,826</w:t>
            </w:r>
          </w:p>
        </w:tc>
        <w:tc>
          <w:tcPr>
            <w:tcW w:w="12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20 %</w:t>
            </w: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i w:val="1"/>
                <w:iCs w:val="1"/>
                <w:color w:val="auto"/>
              </w:rPr>
              <w:t>58 %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i w:val="1"/>
                <w:iCs w:val="1"/>
                <w:color w:val="auto"/>
              </w:rPr>
              <w:t>56 %</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 the Middle East and Africa ("EMEA")</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56,779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17"/>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52,670</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i w:val="1"/>
                <w:iCs w:val="1"/>
                <w:color w:val="auto"/>
              </w:rPr>
              <w:t>32 %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i w:val="1"/>
                <w:iCs w:val="1"/>
                <w:color w:val="auto"/>
              </w:rPr>
              <w:t>35 %</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Latin America</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6,318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17"/>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4,577</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32 %</w:t>
            </w:r>
          </w:p>
        </w:tc>
      </w:tr>
      <w:tr>
        <w:trPr>
          <w:trHeight w:val="229"/>
        </w:trPr>
        <w:tc>
          <w:tcPr>
            <w:tcW w:w="474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i w:val="1"/>
                <w:iCs w:val="1"/>
                <w:color w:val="auto"/>
              </w:rPr>
              <w:t>4 %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i w:val="1"/>
                <w:iCs w:val="1"/>
                <w:color w:val="auto"/>
              </w:rPr>
              <w:t>3 %</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9,972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17"/>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9,144</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i w:val="1"/>
                <w:iCs w:val="1"/>
                <w:color w:val="auto"/>
              </w:rPr>
              <w:t>6 %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i w:val="1"/>
                <w:iCs w:val="1"/>
                <w:color w:val="auto"/>
              </w:rPr>
              <w:t>6 %</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580"/>
        </w:trPr>
        <w:tc>
          <w:tcPr>
            <w:tcW w:w="47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5"/>
          </w:tcPr>
          <w:p>
            <w:pPr>
              <w:jc w:val="right"/>
              <w:ind w:right="57"/>
              <w:spacing w:after="0"/>
              <w:rPr>
                <w:sz w:val="20"/>
                <w:szCs w:val="20"/>
                <w:color w:val="auto"/>
              </w:rPr>
            </w:pPr>
            <w:r>
              <w:rPr>
                <w:rFonts w:ascii="Arial" w:cs="Arial" w:eastAsia="Arial" w:hAnsi="Arial"/>
                <w:sz w:val="18"/>
                <w:szCs w:val="18"/>
                <w:color w:val="auto"/>
              </w:rPr>
              <w:t>Nine Months Ended</w:t>
            </w: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Borders>
              <w:bottom w:val="single" w:sz="8" w:color="auto"/>
            </w:tcBorders>
            <w:gridSpan w:val="3"/>
          </w:tcPr>
          <w:p>
            <w:pPr>
              <w:ind w:left="1040"/>
              <w:spacing w:after="0"/>
              <w:rPr>
                <w:sz w:val="20"/>
                <w:szCs w:val="20"/>
                <w:color w:val="auto"/>
              </w:rPr>
            </w:pPr>
            <w:r>
              <w:rPr>
                <w:rFonts w:ascii="Arial" w:cs="Arial" w:eastAsia="Arial" w:hAnsi="Arial"/>
                <w:sz w:val="18"/>
                <w:szCs w:val="18"/>
                <w:color w:val="auto"/>
                <w:w w:val="87"/>
              </w:rPr>
              <w:t>% Change</w:t>
            </w:r>
          </w:p>
        </w:tc>
        <w:tc>
          <w:tcPr>
            <w:tcW w:w="1040" w:type="dxa"/>
            <w:vAlign w:val="bottom"/>
            <w:tcBorders>
              <w:bottom w:val="single" w:sz="8" w:color="auto"/>
            </w:tcBorders>
          </w:tcPr>
          <w:p>
            <w:pPr>
              <w:spacing w:after="0"/>
              <w:rPr>
                <w:sz w:val="24"/>
                <w:szCs w:val="24"/>
                <w:color w:val="auto"/>
              </w:rPr>
            </w:pPr>
          </w:p>
        </w:tc>
      </w:tr>
      <w:tr>
        <w:trPr>
          <w:trHeight w:val="182"/>
        </w:trPr>
        <w:tc>
          <w:tcPr>
            <w:tcW w:w="4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ind w:left="40"/>
              <w:spacing w:after="0" w:line="182" w:lineRule="exact"/>
              <w:rPr>
                <w:sz w:val="20"/>
                <w:szCs w:val="20"/>
                <w:color w:val="auto"/>
              </w:rPr>
            </w:pPr>
            <w:r>
              <w:rPr>
                <w:rFonts w:ascii="Arial" w:cs="Arial" w:eastAsia="Arial" w:hAnsi="Arial"/>
                <w:sz w:val="18"/>
                <w:szCs w:val="18"/>
                <w:color w:val="auto"/>
              </w:rPr>
              <w:t>Constant</w:t>
            </w:r>
          </w:p>
        </w:tc>
      </w:tr>
      <w:tr>
        <w:trPr>
          <w:trHeight w:val="230"/>
        </w:trPr>
        <w:tc>
          <w:tcPr>
            <w:tcW w:w="47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20"/>
                <w:szCs w:val="20"/>
                <w:color w:val="auto"/>
              </w:rPr>
            </w:pPr>
          </w:p>
        </w:tc>
        <w:tc>
          <w:tcPr>
            <w:tcW w:w="1660" w:type="dxa"/>
            <w:vAlign w:val="bottom"/>
            <w:gridSpan w:val="4"/>
          </w:tcPr>
          <w:p>
            <w:pPr>
              <w:ind w:left="80"/>
              <w:spacing w:after="0"/>
              <w:rPr>
                <w:sz w:val="20"/>
                <w:szCs w:val="20"/>
                <w:color w:val="auto"/>
              </w:rPr>
            </w:pPr>
            <w:r>
              <w:rPr>
                <w:rFonts w:ascii="Arial" w:cs="Arial" w:eastAsia="Arial" w:hAnsi="Arial"/>
                <w:sz w:val="18"/>
                <w:szCs w:val="18"/>
                <w:color w:val="auto"/>
              </w:rPr>
              <w:t>August 31, 2023</w:t>
            </w:r>
          </w:p>
        </w:tc>
        <w:tc>
          <w:tcPr>
            <w:tcW w:w="1820" w:type="dxa"/>
            <w:vAlign w:val="bottom"/>
            <w:gridSpan w:val="3"/>
          </w:tcPr>
          <w:p>
            <w:pPr>
              <w:ind w:left="240"/>
              <w:spacing w:after="0"/>
              <w:rPr>
                <w:sz w:val="20"/>
                <w:szCs w:val="20"/>
                <w:color w:val="auto"/>
              </w:rPr>
            </w:pPr>
            <w:r>
              <w:rPr>
                <w:rFonts w:ascii="Arial" w:cs="Arial" w:eastAsia="Arial" w:hAnsi="Arial"/>
                <w:sz w:val="18"/>
                <w:szCs w:val="18"/>
                <w:color w:val="auto"/>
              </w:rPr>
              <w:t>August 31, 2022</w:t>
            </w:r>
          </w:p>
        </w:tc>
        <w:tc>
          <w:tcPr>
            <w:tcW w:w="1800" w:type="dxa"/>
            <w:vAlign w:val="bottom"/>
            <w:gridSpan w:val="3"/>
          </w:tcPr>
          <w:p>
            <w:pPr>
              <w:ind w:left="220"/>
              <w:spacing w:after="0"/>
              <w:rPr>
                <w:sz w:val="20"/>
                <w:szCs w:val="20"/>
                <w:color w:val="auto"/>
              </w:rPr>
            </w:pPr>
            <w:r>
              <w:rPr>
                <w:rFonts w:ascii="Arial" w:cs="Arial" w:eastAsia="Arial" w:hAnsi="Arial"/>
                <w:sz w:val="18"/>
                <w:szCs w:val="18"/>
                <w:color w:val="auto"/>
              </w:rPr>
              <w:t>As Reported</w:t>
            </w:r>
          </w:p>
        </w:tc>
        <w:tc>
          <w:tcPr>
            <w:tcW w:w="1040" w:type="dxa"/>
            <w:vAlign w:val="bottom"/>
          </w:tcPr>
          <w:p>
            <w:pPr>
              <w:ind w:left="20"/>
              <w:spacing w:after="0"/>
              <w:rPr>
                <w:sz w:val="20"/>
                <w:szCs w:val="20"/>
                <w:color w:val="auto"/>
              </w:rPr>
            </w:pPr>
            <w:r>
              <w:rPr>
                <w:rFonts w:ascii="Arial" w:cs="Arial" w:eastAsia="Arial" w:hAnsi="Arial"/>
                <w:sz w:val="18"/>
                <w:szCs w:val="18"/>
                <w:color w:val="auto"/>
              </w:rPr>
              <w:t>Currency</w:t>
            </w:r>
          </w:p>
        </w:tc>
      </w:tr>
      <w:tr>
        <w:trPr>
          <w:trHeight w:val="223"/>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306,483</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ind w:right="63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248,313</w:t>
            </w:r>
          </w:p>
        </w:tc>
        <w:tc>
          <w:tcPr>
            <w:tcW w:w="12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23 %</w:t>
            </w: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i w:val="1"/>
                <w:iCs w:val="1"/>
                <w:color w:val="auto"/>
              </w:rPr>
              <w:t>59 %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i w:val="1"/>
                <w:iCs w:val="1"/>
                <w:color w:val="auto"/>
              </w:rPr>
              <w:t>56 %</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 the Middle East and Africa ("EMEA")</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166,369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3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156,006</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i w:val="1"/>
                <w:iCs w:val="1"/>
                <w:color w:val="auto"/>
              </w:rPr>
              <w:t>32 %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i w:val="1"/>
                <w:iCs w:val="1"/>
                <w:color w:val="auto"/>
              </w:rPr>
              <w:t>35 %</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Latin America</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15,297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3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13,138</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i w:val="1"/>
                <w:iCs w:val="1"/>
                <w:color w:val="auto"/>
              </w:rPr>
              <w:t>3 %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i w:val="1"/>
                <w:iCs w:val="1"/>
                <w:color w:val="auto"/>
              </w:rPr>
              <w:t>3 %</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29,320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3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27,429</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8 %</w:t>
            </w: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i w:val="1"/>
                <w:iCs w:val="1"/>
                <w:color w:val="auto"/>
              </w:rPr>
              <w:t>6 %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i w:val="1"/>
                <w:iCs w:val="1"/>
                <w:color w:val="auto"/>
              </w:rPr>
              <w:t>6 %</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bl>
    <w:p>
      <w:pPr>
        <w:spacing w:after="0" w:line="322"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Total revenue generated in North America increased $17.1 million and $58.2 million in the third quarter and first nine months of fiscal year 2023, respectively. The increase was primarily due to our acquisition of MarkLogic and increased revenue from our OpenEdge product offering. The increases in revenue over both periods in EMEA was primarily due to our acquisition of MarkLogic and increased revenue from our OpenEdge and Kemp product offerings. The increases in both periods in revenue in Latin America were primarily due to increases in our OpenEdge product offerings. The increases in revenue generated in Asia Pacific in both periods were due to increases in our Chef and Kemp product offerings.</w:t>
      </w:r>
    </w:p>
    <w:p>
      <w:pPr>
        <w:spacing w:after="0" w:line="203"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 the first nine months of fiscal year 2023 revenue generated in markets outside North America represented 41% of total revenue on an actual and constant currency basis. In the first nine months of fiscal year 2022 revenue generated in markets outside North America represented 44% of total revenue on an actual and a constant currency basis.</w:t>
      </w:r>
    </w:p>
    <w:p>
      <w:pPr>
        <w:sectPr>
          <w:pgSz w:w="11900" w:h="16838" w:orient="portrait"/>
          <w:cols w:equalWidth="0" w:num="1">
            <w:col w:w="11240"/>
          </w:cols>
          <w:pgMar w:left="320" w:top="935" w:right="339" w:bottom="1440" w:gutter="0" w:footer="0" w:header="0"/>
          <w:type w:val="continuous"/>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7"/>
          <w:szCs w:val="17"/>
          <w:i w:val="1"/>
          <w:iCs w:val="1"/>
          <w:color w:val="auto"/>
        </w:rPr>
        <w:t>Cost of Software Licenses</w:t>
      </w:r>
    </w:p>
    <w:p>
      <w:pPr>
        <w:spacing w:after="0" w:line="200" w:lineRule="exact"/>
        <w:rPr>
          <w:sz w:val="20"/>
          <w:szCs w:val="20"/>
          <w:color w:val="auto"/>
        </w:rPr>
      </w:pPr>
    </w:p>
    <w:p>
      <w:pPr>
        <w:spacing w:after="0" w:line="316"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(In thousands)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7"/>
          <w:szCs w:val="17"/>
          <w:color w:val="auto"/>
        </w:rPr>
        <w:t>Cost of software licenses</w:t>
      </w:r>
    </w:p>
    <w:p>
      <w:pPr>
        <w:spacing w:after="0" w:line="48" w:lineRule="exact"/>
        <w:rPr>
          <w:sz w:val="20"/>
          <w:szCs w:val="20"/>
          <w:color w:val="auto"/>
        </w:rPr>
      </w:pPr>
    </w:p>
    <w:p>
      <w:pPr>
        <w:ind w:left="20"/>
        <w:spacing w:after="0" w:line="235" w:lineRule="auto"/>
        <w:rPr>
          <w:sz w:val="20"/>
          <w:szCs w:val="20"/>
          <w:color w:val="auto"/>
        </w:rPr>
      </w:pPr>
      <w:r>
        <w:rPr>
          <w:rFonts w:ascii="Arial" w:cs="Arial" w:eastAsia="Arial" w:hAnsi="Arial"/>
          <w:sz w:val="18"/>
          <w:szCs w:val="18"/>
          <w:i w:val="1"/>
          <w:iCs w:val="1"/>
          <w:color w:val="auto"/>
        </w:rPr>
        <w:t>As a percentage of software license revenue</w:t>
      </w:r>
    </w:p>
    <w:p>
      <w:pPr>
        <w:spacing w:after="0" w:line="13" w:lineRule="exact"/>
        <w:rPr>
          <w:sz w:val="20"/>
          <w:szCs w:val="20"/>
          <w:color w:val="auto"/>
        </w:rPr>
      </w:pPr>
    </w:p>
    <w:p>
      <w:pPr>
        <w:ind w:left="20" w:right="280"/>
        <w:spacing w:after="0" w:line="235" w:lineRule="auto"/>
        <w:rPr>
          <w:sz w:val="20"/>
          <w:szCs w:val="20"/>
          <w:color w:val="auto"/>
        </w:rPr>
      </w:pPr>
      <w:r>
        <w:rPr>
          <w:rFonts w:ascii="Arial" w:cs="Arial" w:eastAsia="Arial" w:hAnsi="Arial"/>
          <w:sz w:val="18"/>
          <w:szCs w:val="18"/>
          <w:i w:val="1"/>
          <w:iCs w:val="1"/>
          <w:color w:val="auto"/>
        </w:rPr>
        <w:t>As a percentage of total revenue</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1"/>
              </w:rPr>
              <w:t>Three Months Ended</w:t>
            </w:r>
          </w:p>
        </w:tc>
        <w:tc>
          <w:tcPr>
            <w:tcW w:w="8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color w:val="auto"/>
                <w:w w:val="93"/>
              </w:rPr>
              <w:t>Nine Months Ended</w:t>
            </w:r>
          </w:p>
        </w:tc>
        <w:tc>
          <w:tcPr>
            <w:tcW w:w="9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r>
      <w:tr>
        <w:trPr>
          <w:trHeight w:val="169"/>
        </w:trPr>
        <w:tc>
          <w:tcPr>
            <w:tcW w:w="160" w:type="dxa"/>
            <w:vAlign w:val="bottom"/>
          </w:tcPr>
          <w:p>
            <w:pPr>
              <w:spacing w:after="0"/>
              <w:rPr>
                <w:sz w:val="14"/>
                <w:szCs w:val="14"/>
                <w:color w:val="auto"/>
              </w:rPr>
            </w:pPr>
          </w:p>
        </w:tc>
        <w:tc>
          <w:tcPr>
            <w:tcW w:w="1140" w:type="dxa"/>
            <w:vAlign w:val="bottom"/>
            <w:gridSpan w:val="2"/>
          </w:tcPr>
          <w:p>
            <w:pPr>
              <w:ind w:left="40"/>
              <w:spacing w:after="0" w:line="169" w:lineRule="exact"/>
              <w:rPr>
                <w:sz w:val="20"/>
                <w:szCs w:val="20"/>
                <w:color w:val="auto"/>
              </w:rPr>
            </w:pPr>
            <w:r>
              <w:rPr>
                <w:rFonts w:ascii="Arial" w:cs="Arial" w:eastAsia="Arial" w:hAnsi="Arial"/>
                <w:sz w:val="18"/>
                <w:szCs w:val="18"/>
                <w:color w:val="auto"/>
              </w:rPr>
              <w:t>August 31,</w:t>
            </w:r>
          </w:p>
        </w:tc>
        <w:tc>
          <w:tcPr>
            <w:tcW w:w="120" w:type="dxa"/>
            <w:vAlign w:val="bottom"/>
          </w:tcPr>
          <w:p>
            <w:pPr>
              <w:spacing w:after="0"/>
              <w:rPr>
                <w:sz w:val="14"/>
                <w:szCs w:val="14"/>
                <w:color w:val="auto"/>
              </w:rPr>
            </w:pPr>
          </w:p>
        </w:tc>
        <w:tc>
          <w:tcPr>
            <w:tcW w:w="1160" w:type="dxa"/>
            <w:vAlign w:val="bottom"/>
            <w:gridSpan w:val="2"/>
          </w:tcPr>
          <w:p>
            <w:pPr>
              <w:ind w:left="60"/>
              <w:spacing w:after="0" w:line="169" w:lineRule="exact"/>
              <w:rPr>
                <w:sz w:val="20"/>
                <w:szCs w:val="20"/>
                <w:color w:val="auto"/>
              </w:rPr>
            </w:pPr>
            <w:r>
              <w:rPr>
                <w:rFonts w:ascii="Arial" w:cs="Arial" w:eastAsia="Arial" w:hAnsi="Arial"/>
                <w:sz w:val="18"/>
                <w:szCs w:val="18"/>
                <w:color w:val="auto"/>
              </w:rPr>
              <w:t>August 31,</w:t>
            </w: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ind w:left="60"/>
              <w:spacing w:after="0" w:line="169" w:lineRule="exact"/>
              <w:rPr>
                <w:sz w:val="20"/>
                <w:szCs w:val="20"/>
                <w:color w:val="auto"/>
              </w:rPr>
            </w:pPr>
            <w:r>
              <w:rPr>
                <w:rFonts w:ascii="Arial" w:cs="Arial" w:eastAsia="Arial" w:hAnsi="Arial"/>
                <w:sz w:val="18"/>
                <w:szCs w:val="18"/>
                <w:color w:val="auto"/>
              </w:rPr>
              <w:t>August 31,</w:t>
            </w:r>
          </w:p>
        </w:tc>
        <w:tc>
          <w:tcPr>
            <w:tcW w:w="160" w:type="dxa"/>
            <w:vAlign w:val="bottom"/>
          </w:tcPr>
          <w:p>
            <w:pPr>
              <w:spacing w:after="0"/>
              <w:rPr>
                <w:sz w:val="14"/>
                <w:szCs w:val="14"/>
                <w:color w:val="auto"/>
              </w:rPr>
            </w:pPr>
          </w:p>
        </w:tc>
        <w:tc>
          <w:tcPr>
            <w:tcW w:w="1120" w:type="dxa"/>
            <w:vAlign w:val="bottom"/>
            <w:gridSpan w:val="2"/>
          </w:tcPr>
          <w:p>
            <w:pPr>
              <w:ind w:left="40"/>
              <w:spacing w:after="0" w:line="169" w:lineRule="exact"/>
              <w:rPr>
                <w:sz w:val="20"/>
                <w:szCs w:val="20"/>
                <w:color w:val="auto"/>
              </w:rPr>
            </w:pPr>
            <w:r>
              <w:rPr>
                <w:rFonts w:ascii="Arial" w:cs="Arial" w:eastAsia="Arial" w:hAnsi="Arial"/>
                <w:sz w:val="18"/>
                <w:szCs w:val="18"/>
                <w:color w:val="auto"/>
              </w:rPr>
              <w:t>August 31,</w:t>
            </w: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243"/>
        </w:trPr>
        <w:tc>
          <w:tcPr>
            <w:tcW w:w="1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Change</w:t>
            </w:r>
          </w:p>
        </w:tc>
        <w:tc>
          <w:tcPr>
            <w:tcW w:w="5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Change</w:t>
            </w:r>
          </w:p>
        </w:tc>
        <w:tc>
          <w:tcPr>
            <w:tcW w:w="480" w:type="dxa"/>
            <w:vAlign w:val="bottom"/>
            <w:tcBorders>
              <w:bottom w:val="single" w:sz="8" w:color="auto"/>
            </w:tcBorders>
          </w:tcPr>
          <w:p>
            <w:pPr>
              <w:spacing w:after="0"/>
              <w:rPr>
                <w:sz w:val="21"/>
                <w:szCs w:val="21"/>
                <w:color w:val="auto"/>
              </w:rPr>
            </w:pPr>
          </w:p>
        </w:tc>
      </w:tr>
      <w:tr>
        <w:trPr>
          <w:trHeight w:val="224"/>
        </w:trPr>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2,732</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2,477</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470"/>
              <w:spacing w:after="0"/>
              <w:rPr>
                <w:sz w:val="20"/>
                <w:szCs w:val="20"/>
                <w:color w:val="auto"/>
              </w:rPr>
            </w:pPr>
            <w:r>
              <w:rPr>
                <w:rFonts w:ascii="Arial" w:cs="Arial" w:eastAsia="Arial" w:hAnsi="Arial"/>
                <w:sz w:val="18"/>
                <w:szCs w:val="18"/>
                <w:color w:val="auto"/>
                <w:w w:val="99"/>
              </w:rPr>
              <w:t>255</w:t>
            </w:r>
          </w:p>
        </w:tc>
        <w:tc>
          <w:tcPr>
            <w:tcW w:w="540" w:type="dxa"/>
            <w:vAlign w:val="bottom"/>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7,998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7,669</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530"/>
              <w:spacing w:after="0"/>
              <w:rPr>
                <w:sz w:val="20"/>
                <w:szCs w:val="20"/>
                <w:color w:val="auto"/>
              </w:rPr>
            </w:pPr>
            <w:r>
              <w:rPr>
                <w:rFonts w:ascii="Arial" w:cs="Arial" w:eastAsia="Arial" w:hAnsi="Arial"/>
                <w:sz w:val="18"/>
                <w:szCs w:val="18"/>
                <w:color w:val="auto"/>
                <w:w w:val="99"/>
              </w:rPr>
              <w:t>329</w:t>
            </w:r>
          </w:p>
        </w:tc>
        <w:tc>
          <w:tcPr>
            <w:tcW w:w="480" w:type="dxa"/>
            <w:vAlign w:val="bottom"/>
          </w:tcPr>
          <w:p>
            <w:pPr>
              <w:jc w:val="right"/>
              <w:spacing w:after="0"/>
              <w:rPr>
                <w:sz w:val="20"/>
                <w:szCs w:val="20"/>
                <w:color w:val="auto"/>
              </w:rPr>
            </w:pPr>
            <w:r>
              <w:rPr>
                <w:rFonts w:ascii="Arial" w:cs="Arial" w:eastAsia="Arial" w:hAnsi="Arial"/>
                <w:sz w:val="18"/>
                <w:szCs w:val="18"/>
                <w:color w:val="auto"/>
              </w:rPr>
              <w:t>4 %</w:t>
            </w:r>
          </w:p>
        </w:tc>
      </w:tr>
      <w:tr>
        <w:trPr>
          <w:trHeight w:val="418"/>
        </w:trPr>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i w:val="1"/>
                <w:iCs w:val="1"/>
                <w:color w:val="auto"/>
              </w:rPr>
              <w:t>5 %</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i w:val="1"/>
                <w:iCs w:val="1"/>
                <w:color w:val="auto"/>
              </w:rPr>
              <w:t>5 %</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i w:val="1"/>
                <w:iCs w:val="1"/>
                <w:color w:val="auto"/>
              </w:rPr>
              <w:t>5 %</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i w:val="1"/>
                <w:iCs w:val="1"/>
                <w:color w:val="auto"/>
              </w:rPr>
              <w:t>6 %</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418"/>
        </w:trPr>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i w:val="1"/>
                <w:iCs w:val="1"/>
                <w:color w:val="auto"/>
              </w:rPr>
              <w:t>2 %</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i w:val="1"/>
                <w:iCs w:val="1"/>
                <w:color w:val="auto"/>
              </w:rPr>
              <w:t>2 %</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i w:val="1"/>
                <w:iCs w:val="1"/>
                <w:color w:val="auto"/>
              </w:rPr>
              <w:t>2 %</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i w:val="1"/>
                <w:iCs w:val="1"/>
                <w:color w:val="auto"/>
              </w:rPr>
              <w:t>2 %</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-1467485</wp:posOffset>
            </wp:positionH>
            <wp:positionV relativeFrom="paragraph">
              <wp:posOffset>-685165</wp:posOffset>
            </wp:positionV>
            <wp:extent cx="7132320" cy="154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-1467485</wp:posOffset>
            </wp:positionH>
            <wp:positionV relativeFrom="paragraph">
              <wp:posOffset>-264795</wp:posOffset>
            </wp:positionV>
            <wp:extent cx="7132320" cy="2654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20" w:space="300"/>
            <w:col w:w="8920"/>
          </w:cols>
          <w:pgMar w:left="320" w:top="1138" w:right="339" w:bottom="1440" w:gutter="0" w:footer="0" w:header="0"/>
        </w:sectPr>
      </w:pPr>
    </w:p>
    <w:p>
      <w:pPr>
        <w:spacing w:after="0" w:line="123"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Cost of software licenses consists primarily of costs of inventories, royalties, electronic software distribution, duplication, and packaging. Cost of software licenses as a percentage of software license revenue varies from period to period depending upon the relative product mix.</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40" w:type="dxa"/>
            <w:vAlign w:val="bottom"/>
            <w:gridSpan w:val="2"/>
          </w:tcPr>
          <w:p>
            <w:pPr>
              <w:spacing w:after="0"/>
              <w:rPr>
                <w:sz w:val="20"/>
                <w:szCs w:val="20"/>
                <w:color w:val="auto"/>
              </w:rPr>
            </w:pPr>
            <w:r>
              <w:rPr>
                <w:rFonts w:ascii="Arial" w:cs="Arial" w:eastAsia="Arial" w:hAnsi="Arial"/>
                <w:sz w:val="18"/>
                <w:szCs w:val="18"/>
                <w:i w:val="1"/>
                <w:iCs w:val="1"/>
                <w:color w:val="auto"/>
                <w:w w:val="91"/>
              </w:rPr>
              <w:t>Cost of Maintenance and Services</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56"/>
        </w:trPr>
        <w:tc>
          <w:tcPr>
            <w:tcW w:w="23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0"/>
              </w:rPr>
              <w:t>Three Months Ended</w:t>
            </w:r>
          </w:p>
        </w:tc>
        <w:tc>
          <w:tcPr>
            <w:tcW w:w="48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460" w:type="dxa"/>
            <w:vAlign w:val="bottom"/>
            <w:tcBorders>
              <w:bottom w:val="single" w:sz="8" w:color="auto"/>
            </w:tcBorders>
            <w:gridSpan w:val="5"/>
          </w:tcPr>
          <w:p>
            <w:pPr>
              <w:ind w:left="60"/>
              <w:spacing w:after="0"/>
              <w:rPr>
                <w:sz w:val="20"/>
                <w:szCs w:val="20"/>
                <w:color w:val="auto"/>
              </w:rPr>
            </w:pPr>
            <w:r>
              <w:rPr>
                <w:rFonts w:ascii="Arial" w:cs="Arial" w:eastAsia="Arial" w:hAnsi="Arial"/>
                <w:sz w:val="18"/>
                <w:szCs w:val="18"/>
                <w:color w:val="auto"/>
              </w:rPr>
              <w:t>Nine Months Ended</w:t>
            </w:r>
          </w:p>
        </w:tc>
        <w:tc>
          <w:tcPr>
            <w:tcW w:w="520" w:type="dxa"/>
            <w:vAlign w:val="bottom"/>
            <w:tcBorders>
              <w:bottom w:val="single" w:sz="8" w:color="auto"/>
            </w:tcBorders>
          </w:tcPr>
          <w:p>
            <w:pPr>
              <w:spacing w:after="0"/>
              <w:rPr>
                <w:sz w:val="22"/>
                <w:szCs w:val="22"/>
                <w:color w:val="auto"/>
              </w:rPr>
            </w:pPr>
          </w:p>
        </w:tc>
      </w:tr>
      <w:tr>
        <w:trPr>
          <w:trHeight w:val="182"/>
        </w:trPr>
        <w:tc>
          <w:tcPr>
            <w:tcW w:w="2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ind w:left="20"/>
              <w:spacing w:after="0" w:line="182" w:lineRule="exact"/>
              <w:rPr>
                <w:sz w:val="20"/>
                <w:szCs w:val="20"/>
                <w:color w:val="auto"/>
              </w:rPr>
            </w:pPr>
            <w:r>
              <w:rPr>
                <w:rFonts w:ascii="Arial" w:cs="Arial" w:eastAsia="Arial" w:hAnsi="Arial"/>
                <w:sz w:val="18"/>
                <w:szCs w:val="18"/>
                <w:color w:val="auto"/>
              </w:rPr>
              <w:t>August 31,</w:t>
            </w:r>
          </w:p>
        </w:tc>
        <w:tc>
          <w:tcPr>
            <w:tcW w:w="120" w:type="dxa"/>
            <w:vAlign w:val="bottom"/>
          </w:tcPr>
          <w:p>
            <w:pPr>
              <w:spacing w:after="0"/>
              <w:rPr>
                <w:sz w:val="15"/>
                <w:szCs w:val="15"/>
                <w:color w:val="auto"/>
              </w:rPr>
            </w:pPr>
          </w:p>
        </w:tc>
        <w:tc>
          <w:tcPr>
            <w:tcW w:w="1140" w:type="dxa"/>
            <w:vAlign w:val="bottom"/>
            <w:gridSpan w:val="2"/>
          </w:tcPr>
          <w:p>
            <w:pPr>
              <w:ind w:left="60"/>
              <w:spacing w:after="0" w:line="182" w:lineRule="exact"/>
              <w:rPr>
                <w:sz w:val="20"/>
                <w:szCs w:val="20"/>
                <w:color w:val="auto"/>
              </w:rPr>
            </w:pPr>
            <w:r>
              <w:rPr>
                <w:rFonts w:ascii="Arial" w:cs="Arial" w:eastAsia="Arial" w:hAnsi="Arial"/>
                <w:sz w:val="18"/>
                <w:szCs w:val="18"/>
                <w:color w:val="auto"/>
              </w:rPr>
              <w:t>August 31,</w:t>
            </w: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ind w:left="40"/>
              <w:spacing w:after="0" w:line="182" w:lineRule="exact"/>
              <w:rPr>
                <w:sz w:val="20"/>
                <w:szCs w:val="20"/>
                <w:color w:val="auto"/>
              </w:rPr>
            </w:pPr>
            <w:r>
              <w:rPr>
                <w:rFonts w:ascii="Arial" w:cs="Arial" w:eastAsia="Arial" w:hAnsi="Arial"/>
                <w:sz w:val="18"/>
                <w:szCs w:val="18"/>
                <w:color w:val="auto"/>
              </w:rPr>
              <w:t>August 31,</w:t>
            </w:r>
          </w:p>
        </w:tc>
        <w:tc>
          <w:tcPr>
            <w:tcW w:w="140" w:type="dxa"/>
            <w:vAlign w:val="bottom"/>
          </w:tcPr>
          <w:p>
            <w:pPr>
              <w:spacing w:after="0"/>
              <w:rPr>
                <w:sz w:val="15"/>
                <w:szCs w:val="15"/>
                <w:color w:val="auto"/>
              </w:rPr>
            </w:pPr>
          </w:p>
        </w:tc>
        <w:tc>
          <w:tcPr>
            <w:tcW w:w="1140" w:type="dxa"/>
            <w:vAlign w:val="bottom"/>
            <w:gridSpan w:val="2"/>
          </w:tcPr>
          <w:p>
            <w:pPr>
              <w:ind w:left="40"/>
              <w:spacing w:after="0" w:line="182" w:lineRule="exact"/>
              <w:rPr>
                <w:sz w:val="20"/>
                <w:szCs w:val="20"/>
                <w:color w:val="auto"/>
              </w:rPr>
            </w:pPr>
            <w:r>
              <w:rPr>
                <w:rFonts w:ascii="Arial" w:cs="Arial" w:eastAsia="Arial" w:hAnsi="Arial"/>
                <w:sz w:val="18"/>
                <w:szCs w:val="18"/>
                <w:color w:val="auto"/>
              </w:rPr>
              <w:t>August 31,</w:t>
            </w: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230"/>
        </w:trPr>
        <w:tc>
          <w:tcPr>
            <w:tcW w:w="23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color w:val="auto"/>
              </w:rPr>
              <w:t>Change</w:t>
            </w:r>
          </w:p>
        </w:tc>
        <w:tc>
          <w:tcPr>
            <w:tcW w:w="5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ind w:left="420"/>
              <w:spacing w:after="0"/>
              <w:rPr>
                <w:sz w:val="20"/>
                <w:szCs w:val="20"/>
                <w:color w:val="auto"/>
              </w:rPr>
            </w:pPr>
            <w:r>
              <w:rPr>
                <w:rFonts w:ascii="Arial" w:cs="Arial" w:eastAsia="Arial" w:hAnsi="Arial"/>
                <w:sz w:val="18"/>
                <w:szCs w:val="18"/>
                <w:color w:val="auto"/>
              </w:rPr>
              <w:t>Change</w:t>
            </w:r>
          </w:p>
        </w:tc>
        <w:tc>
          <w:tcPr>
            <w:tcW w:w="520" w:type="dxa"/>
            <w:vAlign w:val="bottom"/>
            <w:tcBorders>
              <w:bottom w:val="single" w:sz="8" w:color="auto"/>
            </w:tcBorders>
          </w:tcPr>
          <w:p>
            <w:pPr>
              <w:spacing w:after="0"/>
              <w:rPr>
                <w:sz w:val="20"/>
                <w:szCs w:val="20"/>
                <w:color w:val="auto"/>
              </w:rPr>
            </w:pPr>
          </w:p>
        </w:tc>
      </w:tr>
      <w:tr>
        <w:trPr>
          <w:trHeight w:val="168"/>
        </w:trPr>
        <w:tc>
          <w:tcPr>
            <w:tcW w:w="2380" w:type="dxa"/>
            <w:vAlign w:val="bottom"/>
            <w:shd w:val="clear" w:color="auto" w:fill="CCEEFF"/>
          </w:tcPr>
          <w:p>
            <w:pPr>
              <w:ind w:left="20"/>
              <w:spacing w:after="0" w:line="168" w:lineRule="exact"/>
              <w:rPr>
                <w:sz w:val="20"/>
                <w:szCs w:val="20"/>
                <w:color w:val="auto"/>
              </w:rPr>
            </w:pPr>
            <w:r>
              <w:rPr>
                <w:rFonts w:ascii="Arial" w:cs="Arial" w:eastAsia="Arial" w:hAnsi="Arial"/>
                <w:sz w:val="18"/>
                <w:szCs w:val="18"/>
                <w:color w:val="auto"/>
              </w:rPr>
              <w:t>Cost of maintenance and</w:t>
            </w: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r>
      <w:tr>
        <w:trPr>
          <w:trHeight w:val="230"/>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22,192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15,761</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6,431</w:t>
            </w:r>
          </w:p>
        </w:tc>
        <w:tc>
          <w:tcPr>
            <w:tcW w:w="40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62,663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46,707</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15,956</w:t>
            </w:r>
          </w:p>
        </w:tc>
        <w:tc>
          <w:tcPr>
            <w:tcW w:w="42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34 %</w:t>
            </w:r>
          </w:p>
        </w:tc>
      </w:tr>
      <w:tr>
        <w:trPr>
          <w:trHeight w:val="188"/>
        </w:trPr>
        <w:tc>
          <w:tcPr>
            <w:tcW w:w="2380" w:type="dxa"/>
            <w:vAlign w:val="bottom"/>
          </w:tcPr>
          <w:p>
            <w:pPr>
              <w:ind w:left="20"/>
              <w:spacing w:after="0" w:line="189" w:lineRule="exact"/>
              <w:rPr>
                <w:sz w:val="20"/>
                <w:szCs w:val="20"/>
                <w:color w:val="auto"/>
              </w:rPr>
            </w:pPr>
            <w:r>
              <w:rPr>
                <w:rFonts w:ascii="Arial" w:cs="Arial" w:eastAsia="Arial" w:hAnsi="Arial"/>
                <w:sz w:val="18"/>
                <w:szCs w:val="18"/>
                <w:i w:val="1"/>
                <w:iCs w:val="1"/>
                <w:color w:val="auto"/>
                <w:w w:val="90"/>
              </w:rPr>
              <w:t>As a percentage of maintenance</w:t>
            </w: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230"/>
        </w:trPr>
        <w:tc>
          <w:tcPr>
            <w:tcW w:w="2380" w:type="dxa"/>
            <w:vAlign w:val="bottom"/>
          </w:tcPr>
          <w:p>
            <w:pPr>
              <w:ind w:left="20"/>
              <w:spacing w:after="0"/>
              <w:rPr>
                <w:sz w:val="20"/>
                <w:szCs w:val="20"/>
                <w:color w:val="auto"/>
              </w:rPr>
            </w:pPr>
            <w:r>
              <w:rPr>
                <w:rFonts w:ascii="Arial" w:cs="Arial" w:eastAsia="Arial" w:hAnsi="Arial"/>
                <w:sz w:val="18"/>
                <w:szCs w:val="18"/>
                <w:i w:val="1"/>
                <w:iCs w:val="1"/>
                <w:color w:val="auto"/>
              </w:rPr>
              <w:t>and services revenue</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i w:val="1"/>
                <w:iCs w:val="1"/>
                <w:color w:val="auto"/>
              </w:rPr>
              <w:t>18 %</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i w:val="1"/>
                <w:iCs w:val="1"/>
                <w:color w:val="auto"/>
              </w:rPr>
              <w:t>15 %</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i w:val="1"/>
                <w:iCs w:val="1"/>
                <w:color w:val="auto"/>
              </w:rPr>
              <w:t>18 %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i w:val="1"/>
                <w:iCs w:val="1"/>
                <w:color w:val="auto"/>
              </w:rPr>
              <w:t>15 %</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29"/>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w w:val="89"/>
              </w:rPr>
              <w:t>As a percentage of total revenue</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13 %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10 %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12 %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10 %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r>
      <w:tr>
        <w:trPr>
          <w:trHeight w:val="188"/>
        </w:trPr>
        <w:tc>
          <w:tcPr>
            <w:tcW w:w="2380" w:type="dxa"/>
            <w:vAlign w:val="bottom"/>
          </w:tcPr>
          <w:p>
            <w:pPr>
              <w:ind w:left="20"/>
              <w:spacing w:after="0" w:line="189" w:lineRule="exact"/>
              <w:rPr>
                <w:sz w:val="20"/>
                <w:szCs w:val="20"/>
                <w:color w:val="auto"/>
              </w:rPr>
            </w:pPr>
            <w:r>
              <w:rPr>
                <w:rFonts w:ascii="Arial" w:cs="Arial" w:eastAsia="Arial" w:hAnsi="Arial"/>
                <w:sz w:val="18"/>
                <w:szCs w:val="18"/>
                <w:color w:val="auto"/>
              </w:rPr>
              <w:t>Components of cost of</w:t>
            </w: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230"/>
        </w:trPr>
        <w:tc>
          <w:tcPr>
            <w:tcW w:w="2380" w:type="dxa"/>
            <w:vAlign w:val="bottom"/>
          </w:tcPr>
          <w:p>
            <w:pPr>
              <w:ind w:left="20"/>
              <w:spacing w:after="0"/>
              <w:rPr>
                <w:sz w:val="20"/>
                <w:szCs w:val="20"/>
                <w:color w:val="auto"/>
              </w:rPr>
            </w:pPr>
            <w:r>
              <w:rPr>
                <w:rFonts w:ascii="Arial" w:cs="Arial" w:eastAsia="Arial" w:hAnsi="Arial"/>
                <w:sz w:val="18"/>
                <w:szCs w:val="18"/>
                <w:color w:val="auto"/>
              </w:rPr>
              <w:t>maintenance and services:</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29"/>
        </w:trPr>
        <w:tc>
          <w:tcPr>
            <w:tcW w:w="2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Personnel related costs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16,578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11,338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5,240</w:t>
            </w:r>
          </w:p>
        </w:tc>
        <w:tc>
          <w:tcPr>
            <w:tcW w:w="4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46,367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33,175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13,192</w:t>
            </w:r>
          </w:p>
        </w:tc>
        <w:tc>
          <w:tcPr>
            <w:tcW w:w="4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40 %</w:t>
            </w:r>
          </w:p>
        </w:tc>
      </w:tr>
      <w:tr>
        <w:trPr>
          <w:trHeight w:val="188"/>
        </w:trPr>
        <w:tc>
          <w:tcPr>
            <w:tcW w:w="2380" w:type="dxa"/>
            <w:vAlign w:val="bottom"/>
          </w:tcPr>
          <w:p>
            <w:pPr>
              <w:ind w:left="240"/>
              <w:spacing w:after="0" w:line="189" w:lineRule="exact"/>
              <w:rPr>
                <w:sz w:val="20"/>
                <w:szCs w:val="20"/>
                <w:color w:val="auto"/>
              </w:rPr>
            </w:pPr>
            <w:r>
              <w:rPr>
                <w:rFonts w:ascii="Arial" w:cs="Arial" w:eastAsia="Arial" w:hAnsi="Arial"/>
                <w:sz w:val="18"/>
                <w:szCs w:val="18"/>
                <w:color w:val="auto"/>
              </w:rPr>
              <w:t>Contractors and outside</w:t>
            </w: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230"/>
        </w:trPr>
        <w:tc>
          <w:tcPr>
            <w:tcW w:w="2380" w:type="dxa"/>
            <w:vAlign w:val="bottom"/>
          </w:tcPr>
          <w:p>
            <w:pPr>
              <w:ind w:left="240"/>
              <w:spacing w:after="0"/>
              <w:rPr>
                <w:sz w:val="20"/>
                <w:szCs w:val="20"/>
                <w:color w:val="auto"/>
              </w:rPr>
            </w:pPr>
            <w:r>
              <w:rPr>
                <w:rFonts w:ascii="Arial" w:cs="Arial" w:eastAsia="Arial" w:hAnsi="Arial"/>
                <w:sz w:val="18"/>
                <w:szCs w:val="18"/>
                <w:color w:val="auto"/>
              </w:rPr>
              <w:t>services</w:t>
            </w:r>
          </w:p>
        </w:tc>
        <w:tc>
          <w:tcPr>
            <w:tcW w:w="160" w:type="dxa"/>
            <w:vAlign w:val="bottom"/>
          </w:tcPr>
          <w:p>
            <w:pPr>
              <w:spacing w:after="0"/>
              <w:rPr>
                <w:sz w:val="20"/>
                <w:szCs w:val="20"/>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3,650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2,956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694</w:t>
            </w:r>
          </w:p>
        </w:tc>
        <w:tc>
          <w:tcPr>
            <w:tcW w:w="4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23 %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10,467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9,178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1,289</w:t>
            </w:r>
          </w:p>
        </w:tc>
        <w:tc>
          <w:tcPr>
            <w:tcW w:w="4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14 %</w:t>
            </w:r>
          </w:p>
        </w:tc>
      </w:tr>
      <w:tr>
        <w:trPr>
          <w:trHeight w:val="230"/>
        </w:trPr>
        <w:tc>
          <w:tcPr>
            <w:tcW w:w="2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Hosting and other</w:t>
            </w: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1,964</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1,467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4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5,829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4,354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1,475</w:t>
            </w:r>
          </w:p>
        </w:tc>
        <w:tc>
          <w:tcPr>
            <w:tcW w:w="4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34 %</w:t>
            </w:r>
          </w:p>
        </w:tc>
      </w:tr>
      <w:tr>
        <w:trPr>
          <w:trHeight w:val="168"/>
        </w:trPr>
        <w:tc>
          <w:tcPr>
            <w:tcW w:w="2380" w:type="dxa"/>
            <w:vAlign w:val="bottom"/>
          </w:tcPr>
          <w:p>
            <w:pPr>
              <w:ind w:left="20"/>
              <w:spacing w:after="0" w:line="168" w:lineRule="exact"/>
              <w:rPr>
                <w:sz w:val="20"/>
                <w:szCs w:val="20"/>
                <w:color w:val="auto"/>
              </w:rPr>
            </w:pPr>
            <w:r>
              <w:rPr>
                <w:rFonts w:ascii="Arial" w:cs="Arial" w:eastAsia="Arial" w:hAnsi="Arial"/>
                <w:sz w:val="18"/>
                <w:szCs w:val="18"/>
                <w:color w:val="auto"/>
                <w:w w:val="97"/>
              </w:rPr>
              <w:t>Total cost of maintenance and</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230"/>
        </w:trPr>
        <w:tc>
          <w:tcPr>
            <w:tcW w:w="2380" w:type="dxa"/>
            <w:vAlign w:val="bottom"/>
          </w:tcPr>
          <w:p>
            <w:pPr>
              <w:ind w:left="20"/>
              <w:spacing w:after="0"/>
              <w:rPr>
                <w:sz w:val="20"/>
                <w:szCs w:val="20"/>
                <w:color w:val="auto"/>
              </w:rPr>
            </w:pPr>
            <w:r>
              <w:rPr>
                <w:rFonts w:ascii="Arial" w:cs="Arial" w:eastAsia="Arial" w:hAnsi="Arial"/>
                <w:sz w:val="18"/>
                <w:szCs w:val="18"/>
                <w:color w:val="auto"/>
              </w:rPr>
              <w:t>services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22,192</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15,761</w:t>
            </w:r>
          </w:p>
        </w:tc>
        <w:tc>
          <w:tcPr>
            <w:tcW w:w="10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4"/>
              </w:rPr>
              <w:t>6,431</w:t>
            </w:r>
          </w:p>
        </w:tc>
        <w:tc>
          <w:tcPr>
            <w:tcW w:w="4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41 %</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62,663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46,707</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15,956</w:t>
            </w:r>
          </w:p>
        </w:tc>
        <w:tc>
          <w:tcPr>
            <w:tcW w:w="4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34 %</w:t>
            </w:r>
          </w:p>
        </w:tc>
      </w:tr>
    </w:tbl>
    <w:p>
      <w:pPr>
        <w:spacing w:after="0" w:line="323"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Cost of maintenance and services consists primarily of costs of providing customer support, consulting, and education. The increases in all periods were primarily due to increased headcount, contractor and outside services costs, and hosting costs resulting from our acquisition of MarkLogic.</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Intangibles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6"/>
          </w:tcPr>
          <w:p>
            <w:pPr>
              <w:ind w:left="100"/>
              <w:spacing w:after="0"/>
              <w:rPr>
                <w:sz w:val="20"/>
                <w:szCs w:val="20"/>
                <w:color w:val="auto"/>
              </w:rPr>
            </w:pPr>
            <w:r>
              <w:rPr>
                <w:rFonts w:ascii="Arial" w:cs="Arial" w:eastAsia="Arial" w:hAnsi="Arial"/>
                <w:sz w:val="18"/>
                <w:szCs w:val="18"/>
                <w:color w:val="auto"/>
                <w:w w:val="93"/>
              </w:rPr>
              <w:t>Three Months Ended</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color w:val="auto"/>
                <w:w w:val="97"/>
              </w:rPr>
              <w:t>Nine Months Ended</w:t>
            </w:r>
          </w:p>
        </w:tc>
        <w:tc>
          <w:tcPr>
            <w:tcW w:w="1120" w:type="dxa"/>
            <w:vAlign w:val="bottom"/>
            <w:tcBorders>
              <w:bottom w:val="single" w:sz="8" w:color="auto"/>
            </w:tcBorders>
          </w:tcPr>
          <w:p>
            <w:pPr>
              <w:spacing w:after="0"/>
              <w:rPr>
                <w:sz w:val="20"/>
                <w:szCs w:val="20"/>
                <w:color w:val="auto"/>
              </w:rPr>
            </w:pPr>
          </w:p>
        </w:tc>
      </w:tr>
      <w:tr>
        <w:trPr>
          <w:trHeight w:val="169"/>
        </w:trPr>
        <w:tc>
          <w:tcPr>
            <w:tcW w:w="3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spacing w:after="0" w:line="169" w:lineRule="exact"/>
              <w:rPr>
                <w:sz w:val="20"/>
                <w:szCs w:val="20"/>
                <w:color w:val="auto"/>
              </w:rPr>
            </w:pPr>
            <w:r>
              <w:rPr>
                <w:rFonts w:ascii="Arial" w:cs="Arial" w:eastAsia="Arial" w:hAnsi="Arial"/>
                <w:sz w:val="18"/>
                <w:szCs w:val="18"/>
                <w:color w:val="auto"/>
                <w:w w:val="95"/>
              </w:rPr>
              <w:t>August 31,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3"/>
          </w:tcPr>
          <w:p>
            <w:pPr>
              <w:ind w:left="40"/>
              <w:spacing w:after="0" w:line="169" w:lineRule="exact"/>
              <w:rPr>
                <w:sz w:val="20"/>
                <w:szCs w:val="20"/>
                <w:color w:val="auto"/>
              </w:rPr>
            </w:pPr>
            <w:r>
              <w:rPr>
                <w:rFonts w:ascii="Arial" w:cs="Arial" w:eastAsia="Arial" w:hAnsi="Arial"/>
                <w:sz w:val="18"/>
                <w:szCs w:val="18"/>
                <w:color w:val="auto"/>
              </w:rPr>
              <w:t>August 31,</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ind w:right="130"/>
              <w:spacing w:after="0" w:line="169" w:lineRule="exact"/>
              <w:rPr>
                <w:sz w:val="20"/>
                <w:szCs w:val="20"/>
                <w:color w:val="auto"/>
              </w:rPr>
            </w:pPr>
            <w:r>
              <w:rPr>
                <w:rFonts w:ascii="Arial" w:cs="Arial" w:eastAsia="Arial" w:hAnsi="Arial"/>
                <w:sz w:val="18"/>
                <w:szCs w:val="18"/>
                <w:color w:val="auto"/>
                <w:w w:val="95"/>
              </w:rPr>
              <w:t>August 31,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3"/>
          </w:tcPr>
          <w:p>
            <w:pPr>
              <w:ind w:left="60"/>
              <w:spacing w:after="0" w:line="169" w:lineRule="exact"/>
              <w:rPr>
                <w:sz w:val="20"/>
                <w:szCs w:val="20"/>
                <w:color w:val="auto"/>
              </w:rPr>
            </w:pPr>
            <w:r>
              <w:rPr>
                <w:rFonts w:ascii="Arial" w:cs="Arial" w:eastAsia="Arial" w:hAnsi="Arial"/>
                <w:sz w:val="18"/>
                <w:szCs w:val="18"/>
                <w:color w:val="auto"/>
              </w:rPr>
              <w:t>August 31,</w:t>
            </w:r>
          </w:p>
        </w:tc>
        <w:tc>
          <w:tcPr>
            <w:tcW w:w="1120" w:type="dxa"/>
            <w:vAlign w:val="bottom"/>
          </w:tcPr>
          <w:p>
            <w:pPr>
              <w:spacing w:after="0"/>
              <w:rPr>
                <w:sz w:val="14"/>
                <w:szCs w:val="14"/>
                <w:color w:val="auto"/>
              </w:rPr>
            </w:pPr>
          </w:p>
        </w:tc>
      </w:tr>
      <w:tr>
        <w:trPr>
          <w:trHeight w:val="243"/>
        </w:trPr>
        <w:tc>
          <w:tcPr>
            <w:tcW w:w="33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21"/>
                <w:szCs w:val="21"/>
                <w:color w:val="auto"/>
              </w:rPr>
            </w:pPr>
          </w:p>
        </w:tc>
        <w:tc>
          <w:tcPr>
            <w:tcW w:w="920" w:type="dxa"/>
            <w:vAlign w:val="bottom"/>
          </w:tcPr>
          <w:p>
            <w:pPr>
              <w:jc w:val="right"/>
              <w:ind w:right="21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33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gridSpan w:val="3"/>
          </w:tcPr>
          <w:p>
            <w:pPr>
              <w:jc w:val="right"/>
              <w:ind w:right="430"/>
              <w:spacing w:after="0"/>
              <w:rPr>
                <w:sz w:val="20"/>
                <w:szCs w:val="20"/>
                <w:color w:val="auto"/>
              </w:rPr>
            </w:pPr>
            <w:r>
              <w:rPr>
                <w:rFonts w:ascii="Arial" w:cs="Arial" w:eastAsia="Arial" w:hAnsi="Arial"/>
                <w:sz w:val="18"/>
                <w:szCs w:val="18"/>
                <w:color w:val="auto"/>
                <w:w w:val="95"/>
              </w:rPr>
              <w:t>% Change</w:t>
            </w:r>
          </w:p>
        </w:tc>
        <w:tc>
          <w:tcPr>
            <w:tcW w:w="1060" w:type="dxa"/>
            <w:vAlign w:val="bottom"/>
          </w:tcPr>
          <w:p>
            <w:pPr>
              <w:jc w:val="right"/>
              <w:ind w:right="33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33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color w:val="auto"/>
                <w:w w:val="99"/>
              </w:rPr>
              <w:t>% Change</w:t>
            </w:r>
          </w:p>
        </w:tc>
      </w:tr>
      <w:tr>
        <w:trPr>
          <w:trHeight w:val="223"/>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intangibles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7,995</w:t>
            </w:r>
          </w:p>
        </w:tc>
        <w:tc>
          <w:tcPr>
            <w:tcW w:w="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5,558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22,253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16,589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34 %</w:t>
            </w:r>
          </w:p>
        </w:tc>
      </w:tr>
      <w:tr>
        <w:trPr>
          <w:trHeight w:val="230"/>
        </w:trPr>
        <w:tc>
          <w:tcPr>
            <w:tcW w:w="336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16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i w:val="1"/>
                <w:iCs w:val="1"/>
                <w:color w:val="auto"/>
              </w:rPr>
              <w:t>5 %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i w:val="1"/>
                <w:iCs w:val="1"/>
                <w:color w:val="auto"/>
              </w:rPr>
              <w:t>4 %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4 %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4 %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r>
    </w:tbl>
    <w:p>
      <w:pPr>
        <w:spacing w:after="0" w:line="30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Amortization of intangibles included in costs of revenue primarily represents the amortization of the value assigned to technology-related intangible assets obtained in business combinations. The increases in all periods are due to the acquisition of MarkLogic.</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type w:val="continuous"/>
        </w:sectPr>
      </w:pPr>
    </w:p>
    <w:bookmarkStart w:id="25" w:name="page26"/>
    <w:bookmarkEnd w:id="25"/>
    <w:tbl>
      <w:tblPr>
        <w:tblLayout w:type="fixed"/>
        <w:tblInd w:w="0" w:type="dxa"/>
        <w:tblCellMar>
          <w:top w:w="0" w:type="dxa"/>
          <w:left w:w="0" w:type="dxa"/>
          <w:bottom w:w="0" w:type="dxa"/>
          <w:right w:w="0" w:type="dxa"/>
        </w:tblCellMar>
      </w:tblPr>
      <w:tr>
        <w:trPr>
          <w:trHeight w:val="230"/>
        </w:trPr>
        <w:tc>
          <w:tcPr>
            <w:tcW w:w="3320" w:type="dxa"/>
            <w:vAlign w:val="bottom"/>
          </w:tcPr>
          <w:p>
            <w:pPr>
              <w:spacing w:after="0"/>
              <w:rPr>
                <w:sz w:val="20"/>
                <w:szCs w:val="20"/>
                <w:color w:val="auto"/>
              </w:rPr>
            </w:pPr>
            <w:r>
              <w:rPr>
                <w:rFonts w:ascii="Arial" w:cs="Arial" w:eastAsia="Arial" w:hAnsi="Arial"/>
                <w:sz w:val="18"/>
                <w:szCs w:val="18"/>
                <w:i w:val="1"/>
                <w:iCs w:val="1"/>
                <w:color w:val="auto"/>
              </w:rPr>
              <w:t>Gross Profit</w:t>
            </w: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567"/>
        </w:trPr>
        <w:tc>
          <w:tcPr>
            <w:tcW w:w="33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6"/>
          </w:tcPr>
          <w:p>
            <w:pPr>
              <w:jc w:val="center"/>
              <w:ind w:left="830"/>
              <w:spacing w:after="0"/>
              <w:rPr>
                <w:sz w:val="20"/>
                <w:szCs w:val="20"/>
                <w:color w:val="auto"/>
              </w:rPr>
            </w:pPr>
            <w:r>
              <w:rPr>
                <w:rFonts w:ascii="Arial" w:cs="Arial" w:eastAsia="Arial" w:hAnsi="Arial"/>
                <w:sz w:val="18"/>
                <w:szCs w:val="18"/>
                <w:color w:val="auto"/>
                <w:w w:val="90"/>
              </w:rPr>
              <w:t>Three Months Ended</w:t>
            </w: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5"/>
          </w:tcPr>
          <w:p>
            <w:pPr>
              <w:jc w:val="center"/>
              <w:ind w:right="100"/>
              <w:spacing w:after="0"/>
              <w:rPr>
                <w:sz w:val="20"/>
                <w:szCs w:val="20"/>
                <w:color w:val="auto"/>
              </w:rPr>
            </w:pPr>
            <w:r>
              <w:rPr>
                <w:rFonts w:ascii="Arial" w:cs="Arial" w:eastAsia="Arial" w:hAnsi="Arial"/>
                <w:sz w:val="18"/>
                <w:szCs w:val="18"/>
                <w:color w:val="auto"/>
                <w:w w:val="91"/>
              </w:rPr>
              <w:t>Nine Months Ended</w:t>
            </w:r>
          </w:p>
        </w:tc>
        <w:tc>
          <w:tcPr>
            <w:tcW w:w="1120" w:type="dxa"/>
            <w:vAlign w:val="bottom"/>
            <w:tcBorders>
              <w:bottom w:val="single" w:sz="8" w:color="auto"/>
            </w:tcBorders>
          </w:tcPr>
          <w:p>
            <w:pPr>
              <w:spacing w:after="0"/>
              <w:rPr>
                <w:sz w:val="24"/>
                <w:szCs w:val="24"/>
                <w:color w:val="auto"/>
              </w:rPr>
            </w:pPr>
          </w:p>
        </w:tc>
      </w:tr>
      <w:tr>
        <w:trPr>
          <w:trHeight w:val="169"/>
        </w:trPr>
        <w:tc>
          <w:tcPr>
            <w:tcW w:w="3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ind w:left="40"/>
              <w:spacing w:after="0" w:line="169" w:lineRule="exact"/>
              <w:rPr>
                <w:sz w:val="20"/>
                <w:szCs w:val="20"/>
                <w:color w:val="auto"/>
              </w:rPr>
            </w:pPr>
            <w:r>
              <w:rPr>
                <w:rFonts w:ascii="Arial" w:cs="Arial" w:eastAsia="Arial" w:hAnsi="Arial"/>
                <w:sz w:val="18"/>
                <w:szCs w:val="18"/>
                <w:color w:val="auto"/>
              </w:rPr>
              <w:t>August 31,</w:t>
            </w:r>
          </w:p>
        </w:tc>
        <w:tc>
          <w:tcPr>
            <w:tcW w:w="160" w:type="dxa"/>
            <w:vAlign w:val="bottom"/>
          </w:tcPr>
          <w:p>
            <w:pPr>
              <w:spacing w:after="0"/>
              <w:rPr>
                <w:sz w:val="14"/>
                <w:szCs w:val="14"/>
                <w:color w:val="auto"/>
              </w:rPr>
            </w:pPr>
          </w:p>
        </w:tc>
        <w:tc>
          <w:tcPr>
            <w:tcW w:w="1320" w:type="dxa"/>
            <w:vAlign w:val="bottom"/>
            <w:gridSpan w:val="3"/>
          </w:tcPr>
          <w:p>
            <w:pPr>
              <w:jc w:val="center"/>
              <w:ind w:right="420"/>
              <w:spacing w:after="0" w:line="169" w:lineRule="exact"/>
              <w:rPr>
                <w:sz w:val="20"/>
                <w:szCs w:val="20"/>
                <w:color w:val="auto"/>
              </w:rPr>
            </w:pPr>
            <w:r>
              <w:rPr>
                <w:rFonts w:ascii="Arial" w:cs="Arial" w:eastAsia="Arial" w:hAnsi="Arial"/>
                <w:sz w:val="18"/>
                <w:szCs w:val="18"/>
                <w:color w:val="auto"/>
                <w:w w:val="90"/>
              </w:rPr>
              <w:t>August 31,</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ind w:right="130"/>
              <w:spacing w:after="0" w:line="169" w:lineRule="exact"/>
              <w:rPr>
                <w:sz w:val="20"/>
                <w:szCs w:val="20"/>
                <w:color w:val="auto"/>
              </w:rPr>
            </w:pPr>
            <w:r>
              <w:rPr>
                <w:rFonts w:ascii="Arial" w:cs="Arial" w:eastAsia="Arial" w:hAnsi="Arial"/>
                <w:sz w:val="18"/>
                <w:szCs w:val="18"/>
                <w:color w:val="auto"/>
                <w:w w:val="95"/>
              </w:rPr>
              <w:t>August 31,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3"/>
          </w:tcPr>
          <w:p>
            <w:pPr>
              <w:jc w:val="center"/>
              <w:ind w:right="420"/>
              <w:spacing w:after="0" w:line="169" w:lineRule="exact"/>
              <w:rPr>
                <w:sz w:val="20"/>
                <w:szCs w:val="20"/>
                <w:color w:val="auto"/>
              </w:rPr>
            </w:pPr>
            <w:r>
              <w:rPr>
                <w:rFonts w:ascii="Arial" w:cs="Arial" w:eastAsia="Arial" w:hAnsi="Arial"/>
                <w:sz w:val="18"/>
                <w:szCs w:val="18"/>
                <w:color w:val="auto"/>
                <w:w w:val="92"/>
              </w:rPr>
              <w:t>August 31,</w:t>
            </w:r>
          </w:p>
        </w:tc>
        <w:tc>
          <w:tcPr>
            <w:tcW w:w="1120" w:type="dxa"/>
            <w:vAlign w:val="bottom"/>
          </w:tcPr>
          <w:p>
            <w:pPr>
              <w:spacing w:after="0"/>
              <w:rPr>
                <w:sz w:val="14"/>
                <w:szCs w:val="14"/>
                <w:color w:val="auto"/>
              </w:rPr>
            </w:pPr>
          </w:p>
        </w:tc>
      </w:tr>
      <w:tr>
        <w:trPr>
          <w:trHeight w:val="243"/>
        </w:trPr>
        <w:tc>
          <w:tcPr>
            <w:tcW w:w="33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21"/>
                <w:szCs w:val="21"/>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center"/>
              <w:ind w:right="90"/>
              <w:spacing w:after="0"/>
              <w:rPr>
                <w:sz w:val="20"/>
                <w:szCs w:val="20"/>
                <w:color w:val="auto"/>
              </w:rPr>
            </w:pPr>
            <w:r>
              <w:rPr>
                <w:rFonts w:ascii="Arial" w:cs="Arial" w:eastAsia="Arial" w:hAnsi="Arial"/>
                <w:sz w:val="18"/>
                <w:szCs w:val="18"/>
                <w:color w:val="auto"/>
                <w:w w:val="89"/>
              </w:rPr>
              <w:t>2022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gridSpan w:val="3"/>
          </w:tcPr>
          <w:p>
            <w:pPr>
              <w:jc w:val="right"/>
              <w:ind w:right="430"/>
              <w:spacing w:after="0"/>
              <w:rPr>
                <w:sz w:val="20"/>
                <w:szCs w:val="20"/>
                <w:color w:val="auto"/>
              </w:rPr>
            </w:pPr>
            <w:r>
              <w:rPr>
                <w:rFonts w:ascii="Arial" w:cs="Arial" w:eastAsia="Arial" w:hAnsi="Arial"/>
                <w:sz w:val="18"/>
                <w:szCs w:val="18"/>
                <w:color w:val="auto"/>
                <w:w w:val="97"/>
              </w:rPr>
              <w:t>% Change</w:t>
            </w:r>
          </w:p>
        </w:tc>
        <w:tc>
          <w:tcPr>
            <w:tcW w:w="1060" w:type="dxa"/>
            <w:vAlign w:val="bottom"/>
          </w:tcPr>
          <w:p>
            <w:pPr>
              <w:jc w:val="right"/>
              <w:ind w:right="33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center"/>
              <w:ind w:right="90"/>
              <w:spacing w:after="0"/>
              <w:rPr>
                <w:sz w:val="20"/>
                <w:szCs w:val="20"/>
                <w:color w:val="auto"/>
              </w:rPr>
            </w:pPr>
            <w:r>
              <w:rPr>
                <w:rFonts w:ascii="Arial" w:cs="Arial" w:eastAsia="Arial" w:hAnsi="Arial"/>
                <w:sz w:val="18"/>
                <w:szCs w:val="18"/>
                <w:color w:val="auto"/>
                <w:w w:val="89"/>
              </w:rPr>
              <w:t>2022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color w:val="auto"/>
                <w:w w:val="99"/>
              </w:rPr>
              <w:t>% Change</w:t>
            </w:r>
          </w:p>
        </w:tc>
      </w:tr>
      <w:tr>
        <w:trPr>
          <w:trHeight w:val="223"/>
        </w:trPr>
        <w:tc>
          <w:tcPr>
            <w:tcW w:w="3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142,073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127,421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424,555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373,921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14 %</w:t>
            </w:r>
          </w:p>
        </w:tc>
      </w:tr>
      <w:tr>
        <w:trPr>
          <w:trHeight w:val="230"/>
        </w:trPr>
        <w:tc>
          <w:tcPr>
            <w:tcW w:w="332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81 %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84 %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82 %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84 %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r>
    </w:tbl>
    <w:p>
      <w:pPr>
        <w:spacing w:after="0" w:line="30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Our gross profit increased in all periods primarily due to the increases in revenue, offset by the increases in costs of software licenses, costs of maintenance and services and the amortization of intangibles, each as described above.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40" w:type="dxa"/>
            <w:vAlign w:val="bottom"/>
          </w:tcPr>
          <w:p>
            <w:pPr>
              <w:spacing w:after="0"/>
              <w:rPr>
                <w:sz w:val="20"/>
                <w:szCs w:val="20"/>
                <w:color w:val="auto"/>
              </w:rPr>
            </w:pPr>
            <w:r>
              <w:rPr>
                <w:rFonts w:ascii="Arial" w:cs="Arial" w:eastAsia="Arial" w:hAnsi="Arial"/>
                <w:sz w:val="18"/>
                <w:szCs w:val="18"/>
                <w:i w:val="1"/>
                <w:iCs w:val="1"/>
                <w:color w:val="auto"/>
              </w:rPr>
              <w:t>Sales and Marketing</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257"/>
        </w:trPr>
        <w:tc>
          <w:tcPr>
            <w:tcW w:w="28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380" w:type="dxa"/>
            <w:vAlign w:val="bottom"/>
            <w:tcBorders>
              <w:bottom w:val="single" w:sz="8" w:color="auto"/>
            </w:tcBorders>
            <w:gridSpan w:val="6"/>
          </w:tcPr>
          <w:p>
            <w:pPr>
              <w:ind w:left="40"/>
              <w:spacing w:after="0"/>
              <w:rPr>
                <w:sz w:val="20"/>
                <w:szCs w:val="20"/>
                <w:color w:val="auto"/>
              </w:rPr>
            </w:pPr>
            <w:r>
              <w:rPr>
                <w:rFonts w:ascii="Arial" w:cs="Arial" w:eastAsia="Arial" w:hAnsi="Arial"/>
                <w:sz w:val="18"/>
                <w:szCs w:val="18"/>
                <w:color w:val="auto"/>
              </w:rPr>
              <w:t>Three Months Ended</w:t>
            </w:r>
          </w:p>
        </w:tc>
        <w:tc>
          <w:tcPr>
            <w:tcW w:w="4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420" w:type="dxa"/>
            <w:vAlign w:val="bottom"/>
            <w:tcBorders>
              <w:bottom w:val="single" w:sz="8" w:color="auto"/>
            </w:tcBorders>
            <w:gridSpan w:val="6"/>
          </w:tcPr>
          <w:p>
            <w:pPr>
              <w:ind w:left="60"/>
              <w:spacing w:after="0"/>
              <w:rPr>
                <w:sz w:val="20"/>
                <w:szCs w:val="20"/>
                <w:color w:val="auto"/>
              </w:rPr>
            </w:pPr>
            <w:r>
              <w:rPr>
                <w:rFonts w:ascii="Arial" w:cs="Arial" w:eastAsia="Arial" w:hAnsi="Arial"/>
                <w:sz w:val="18"/>
                <w:szCs w:val="18"/>
                <w:color w:val="auto"/>
              </w:rPr>
              <w:t>Nine Months Ended</w:t>
            </w:r>
          </w:p>
        </w:tc>
        <w:tc>
          <w:tcPr>
            <w:tcW w:w="460" w:type="dxa"/>
            <w:vAlign w:val="bottom"/>
            <w:tcBorders>
              <w:bottom w:val="single" w:sz="8" w:color="auto"/>
            </w:tcBorders>
          </w:tcPr>
          <w:p>
            <w:pPr>
              <w:spacing w:after="0"/>
              <w:rPr>
                <w:sz w:val="22"/>
                <w:szCs w:val="22"/>
                <w:color w:val="auto"/>
              </w:rPr>
            </w:pPr>
          </w:p>
        </w:tc>
      </w:tr>
      <w:tr>
        <w:trPr>
          <w:trHeight w:val="182"/>
        </w:trPr>
        <w:tc>
          <w:tcPr>
            <w:tcW w:w="2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ind w:left="40"/>
              <w:spacing w:after="0" w:line="182" w:lineRule="exact"/>
              <w:rPr>
                <w:sz w:val="20"/>
                <w:szCs w:val="20"/>
                <w:color w:val="auto"/>
              </w:rPr>
            </w:pPr>
            <w:r>
              <w:rPr>
                <w:rFonts w:ascii="Arial" w:cs="Arial" w:eastAsia="Arial" w:hAnsi="Arial"/>
                <w:sz w:val="18"/>
                <w:szCs w:val="18"/>
                <w:color w:val="auto"/>
              </w:rPr>
              <w:t>August 31,</w:t>
            </w:r>
          </w:p>
        </w:tc>
        <w:tc>
          <w:tcPr>
            <w:tcW w:w="140" w:type="dxa"/>
            <w:vAlign w:val="bottom"/>
          </w:tcPr>
          <w:p>
            <w:pPr>
              <w:spacing w:after="0"/>
              <w:rPr>
                <w:sz w:val="15"/>
                <w:szCs w:val="15"/>
                <w:color w:val="auto"/>
              </w:rPr>
            </w:pPr>
          </w:p>
        </w:tc>
        <w:tc>
          <w:tcPr>
            <w:tcW w:w="1120" w:type="dxa"/>
            <w:vAlign w:val="bottom"/>
            <w:gridSpan w:val="2"/>
          </w:tcPr>
          <w:p>
            <w:pPr>
              <w:ind w:left="40"/>
              <w:spacing w:after="0" w:line="182" w:lineRule="exact"/>
              <w:rPr>
                <w:sz w:val="20"/>
                <w:szCs w:val="20"/>
                <w:color w:val="auto"/>
              </w:rPr>
            </w:pPr>
            <w:r>
              <w:rPr>
                <w:rFonts w:ascii="Arial" w:cs="Arial" w:eastAsia="Arial" w:hAnsi="Arial"/>
                <w:sz w:val="18"/>
                <w:szCs w:val="18"/>
                <w:color w:val="auto"/>
              </w:rPr>
              <w:t>August 31,</w:t>
            </w: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ind w:left="60"/>
              <w:spacing w:after="0" w:line="182" w:lineRule="exact"/>
              <w:rPr>
                <w:sz w:val="20"/>
                <w:szCs w:val="20"/>
                <w:color w:val="auto"/>
              </w:rPr>
            </w:pPr>
            <w:r>
              <w:rPr>
                <w:rFonts w:ascii="Arial" w:cs="Arial" w:eastAsia="Arial" w:hAnsi="Arial"/>
                <w:sz w:val="18"/>
                <w:szCs w:val="18"/>
                <w:color w:val="auto"/>
              </w:rPr>
              <w:t>August 31,</w:t>
            </w:r>
          </w:p>
        </w:tc>
        <w:tc>
          <w:tcPr>
            <w:tcW w:w="140" w:type="dxa"/>
            <w:vAlign w:val="bottom"/>
          </w:tcPr>
          <w:p>
            <w:pPr>
              <w:spacing w:after="0"/>
              <w:rPr>
                <w:sz w:val="15"/>
                <w:szCs w:val="15"/>
                <w:color w:val="auto"/>
              </w:rPr>
            </w:pPr>
          </w:p>
        </w:tc>
        <w:tc>
          <w:tcPr>
            <w:tcW w:w="1140" w:type="dxa"/>
            <w:vAlign w:val="bottom"/>
            <w:gridSpan w:val="2"/>
          </w:tcPr>
          <w:p>
            <w:pPr>
              <w:ind w:left="60"/>
              <w:spacing w:after="0" w:line="182" w:lineRule="exact"/>
              <w:rPr>
                <w:sz w:val="20"/>
                <w:szCs w:val="20"/>
                <w:color w:val="auto"/>
              </w:rPr>
            </w:pPr>
            <w:r>
              <w:rPr>
                <w:rFonts w:ascii="Arial" w:cs="Arial" w:eastAsia="Arial" w:hAnsi="Arial"/>
                <w:sz w:val="18"/>
                <w:szCs w:val="18"/>
                <w:color w:val="auto"/>
              </w:rPr>
              <w:t>August 31,</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230"/>
        </w:trPr>
        <w:tc>
          <w:tcPr>
            <w:tcW w:w="28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ind w:left="320"/>
              <w:spacing w:after="0"/>
              <w:rPr>
                <w:sz w:val="20"/>
                <w:szCs w:val="20"/>
                <w:color w:val="auto"/>
              </w:rPr>
            </w:pPr>
            <w:r>
              <w:rPr>
                <w:rFonts w:ascii="Arial" w:cs="Arial" w:eastAsia="Arial" w:hAnsi="Arial"/>
                <w:sz w:val="18"/>
                <w:szCs w:val="18"/>
                <w:color w:val="auto"/>
                <w:w w:val="91"/>
              </w:rPr>
              <w:t>Change</w:t>
            </w:r>
          </w:p>
        </w:tc>
        <w:tc>
          <w:tcPr>
            <w:tcW w:w="4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ind w:left="360"/>
              <w:spacing w:after="0"/>
              <w:rPr>
                <w:sz w:val="20"/>
                <w:szCs w:val="20"/>
                <w:color w:val="auto"/>
              </w:rPr>
            </w:pPr>
            <w:r>
              <w:rPr>
                <w:rFonts w:ascii="Arial" w:cs="Arial" w:eastAsia="Arial" w:hAnsi="Arial"/>
                <w:sz w:val="18"/>
                <w:szCs w:val="18"/>
                <w:color w:val="auto"/>
                <w:w w:val="95"/>
              </w:rPr>
              <w:t>Change</w:t>
            </w:r>
          </w:p>
        </w:tc>
        <w:tc>
          <w:tcPr>
            <w:tcW w:w="460" w:type="dxa"/>
            <w:vAlign w:val="bottom"/>
            <w:tcBorders>
              <w:bottom w:val="single" w:sz="8" w:color="auto"/>
            </w:tcBorders>
          </w:tcPr>
          <w:p>
            <w:pPr>
              <w:spacing w:after="0"/>
              <w:rPr>
                <w:sz w:val="20"/>
                <w:szCs w:val="20"/>
                <w:color w:val="auto"/>
              </w:rPr>
            </w:pPr>
          </w:p>
        </w:tc>
      </w:tr>
      <w:tr>
        <w:trPr>
          <w:trHeight w:val="223"/>
        </w:trPr>
        <w:tc>
          <w:tcPr>
            <w:tcW w:w="2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38,612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34,595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4,017</w:t>
            </w:r>
          </w:p>
        </w:tc>
        <w:tc>
          <w:tcPr>
            <w:tcW w:w="3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112,513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100,768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11,745</w:t>
            </w:r>
          </w:p>
        </w:tc>
        <w:tc>
          <w:tcPr>
            <w:tcW w:w="3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r>
      <w:tr>
        <w:trPr>
          <w:trHeight w:val="229"/>
        </w:trPr>
        <w:tc>
          <w:tcPr>
            <w:tcW w:w="284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i w:val="1"/>
                <w:iCs w:val="1"/>
                <w:color w:val="auto"/>
              </w:rPr>
              <w:t>22 %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i w:val="1"/>
                <w:iCs w:val="1"/>
                <w:color w:val="auto"/>
              </w:rPr>
              <w:t>23 %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i w:val="1"/>
                <w:iCs w:val="1"/>
                <w:color w:val="auto"/>
              </w:rPr>
              <w:t>22 %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i w:val="1"/>
                <w:iCs w:val="1"/>
                <w:color w:val="auto"/>
              </w:rPr>
              <w:t>23 %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29"/>
        </w:trPr>
        <w:tc>
          <w:tcPr>
            <w:tcW w:w="28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Components of sales and marketing:</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r>
      <w:tr>
        <w:trPr>
          <w:trHeight w:val="230"/>
        </w:trPr>
        <w:tc>
          <w:tcPr>
            <w:tcW w:w="2840" w:type="dxa"/>
            <w:vAlign w:val="bottom"/>
          </w:tcPr>
          <w:p>
            <w:pPr>
              <w:ind w:left="240"/>
              <w:spacing w:after="0"/>
              <w:rPr>
                <w:sz w:val="20"/>
                <w:szCs w:val="20"/>
                <w:color w:val="auto"/>
              </w:rPr>
            </w:pPr>
            <w:r>
              <w:rPr>
                <w:rFonts w:ascii="Arial" w:cs="Arial" w:eastAsia="Arial" w:hAnsi="Arial"/>
                <w:sz w:val="18"/>
                <w:szCs w:val="18"/>
                <w:color w:val="auto"/>
              </w:rPr>
              <w:t>Personnel related costs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33,919</w:t>
            </w:r>
          </w:p>
        </w:tc>
        <w:tc>
          <w:tcPr>
            <w:tcW w:w="10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29,994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3,925</w:t>
            </w:r>
          </w:p>
        </w:tc>
        <w:tc>
          <w:tcPr>
            <w:tcW w:w="3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13 %</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98,243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86,145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4"/>
              </w:rPr>
              <w:t>12,098</w:t>
            </w:r>
          </w:p>
        </w:tc>
        <w:tc>
          <w:tcPr>
            <w:tcW w:w="3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14 %</w:t>
            </w:r>
          </w:p>
        </w:tc>
      </w:tr>
      <w:tr>
        <w:trPr>
          <w:trHeight w:val="229"/>
        </w:trPr>
        <w:tc>
          <w:tcPr>
            <w:tcW w:w="28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8"/>
              </w:rPr>
              <w:t>Contractors and outside services</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785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3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2,990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2,171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3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38 %</w:t>
            </w:r>
          </w:p>
        </w:tc>
      </w:tr>
      <w:tr>
        <w:trPr>
          <w:trHeight w:val="230"/>
        </w:trPr>
        <w:tc>
          <w:tcPr>
            <w:tcW w:w="28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Marketing programs and other</w:t>
            </w: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3,908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4,009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38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11,280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12,452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(1,172)</w:t>
            </w:r>
          </w:p>
        </w:tc>
        <w:tc>
          <w:tcPr>
            <w:tcW w:w="36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(9)%</w:t>
            </w:r>
          </w:p>
        </w:tc>
      </w:tr>
      <w:tr>
        <w:trPr>
          <w:trHeight w:val="223"/>
        </w:trPr>
        <w:tc>
          <w:tcPr>
            <w:tcW w:w="2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sales and marketing</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38,612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34,595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4,017</w:t>
            </w:r>
          </w:p>
        </w:tc>
        <w:tc>
          <w:tcPr>
            <w:tcW w:w="3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112,513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100,768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11,745</w:t>
            </w:r>
          </w:p>
        </w:tc>
        <w:tc>
          <w:tcPr>
            <w:tcW w:w="3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r>
    </w:tbl>
    <w:p>
      <w:pPr>
        <w:spacing w:after="0" w:line="323"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Sales and marketing expenses increased in all periods primarily due to increased personnel related costs associated with our acquisition of MarkLogic, as well as increases in contractors and outside services costs, partially offset by decreases in marketing and sales events costs.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60" w:type="dxa"/>
            <w:vAlign w:val="bottom"/>
          </w:tcPr>
          <w:p>
            <w:pPr>
              <w:spacing w:after="0"/>
              <w:rPr>
                <w:sz w:val="20"/>
                <w:szCs w:val="20"/>
                <w:color w:val="auto"/>
              </w:rPr>
            </w:pPr>
            <w:r>
              <w:rPr>
                <w:rFonts w:ascii="Arial" w:cs="Arial" w:eastAsia="Arial" w:hAnsi="Arial"/>
                <w:sz w:val="18"/>
                <w:szCs w:val="18"/>
                <w:i w:val="1"/>
                <w:iCs w:val="1"/>
                <w:color w:val="auto"/>
              </w:rPr>
              <w:t>Product Development</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499"/>
        </w:trPr>
        <w:tc>
          <w:tcPr>
            <w:tcW w:w="28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6"/>
          </w:tcPr>
          <w:p>
            <w:pPr>
              <w:ind w:left="40"/>
              <w:spacing w:after="0"/>
              <w:rPr>
                <w:sz w:val="20"/>
                <w:szCs w:val="20"/>
                <w:color w:val="auto"/>
              </w:rPr>
            </w:pPr>
            <w:r>
              <w:rPr>
                <w:rFonts w:ascii="Arial" w:cs="Arial" w:eastAsia="Arial" w:hAnsi="Arial"/>
                <w:sz w:val="18"/>
                <w:szCs w:val="18"/>
                <w:color w:val="auto"/>
              </w:rPr>
              <w:t>Three Months Ended</w:t>
            </w:r>
          </w:p>
        </w:tc>
        <w:tc>
          <w:tcPr>
            <w:tcW w:w="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6"/>
          </w:tcPr>
          <w:p>
            <w:pPr>
              <w:ind w:left="80"/>
              <w:spacing w:after="0"/>
              <w:rPr>
                <w:sz w:val="20"/>
                <w:szCs w:val="20"/>
                <w:color w:val="auto"/>
              </w:rPr>
            </w:pPr>
            <w:r>
              <w:rPr>
                <w:rFonts w:ascii="Arial" w:cs="Arial" w:eastAsia="Arial" w:hAnsi="Arial"/>
                <w:sz w:val="18"/>
                <w:szCs w:val="18"/>
                <w:color w:val="auto"/>
              </w:rPr>
              <w:t>Nine Months Ended</w:t>
            </w:r>
          </w:p>
        </w:tc>
        <w:tc>
          <w:tcPr>
            <w:tcW w:w="500" w:type="dxa"/>
            <w:vAlign w:val="bottom"/>
            <w:tcBorders>
              <w:bottom w:val="single" w:sz="8" w:color="auto"/>
            </w:tcBorders>
          </w:tcPr>
          <w:p>
            <w:pPr>
              <w:spacing w:after="0"/>
              <w:rPr>
                <w:sz w:val="24"/>
                <w:szCs w:val="24"/>
                <w:color w:val="auto"/>
              </w:rPr>
            </w:pPr>
          </w:p>
        </w:tc>
      </w:tr>
      <w:tr>
        <w:trPr>
          <w:trHeight w:val="169"/>
        </w:trPr>
        <w:tc>
          <w:tcPr>
            <w:tcW w:w="2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ind w:left="40"/>
              <w:spacing w:after="0" w:line="169" w:lineRule="exact"/>
              <w:rPr>
                <w:sz w:val="20"/>
                <w:szCs w:val="20"/>
                <w:color w:val="auto"/>
              </w:rPr>
            </w:pPr>
            <w:r>
              <w:rPr>
                <w:rFonts w:ascii="Arial" w:cs="Arial" w:eastAsia="Arial" w:hAnsi="Arial"/>
                <w:sz w:val="18"/>
                <w:szCs w:val="18"/>
                <w:color w:val="auto"/>
              </w:rPr>
              <w:t>August 31,</w:t>
            </w:r>
          </w:p>
        </w:tc>
        <w:tc>
          <w:tcPr>
            <w:tcW w:w="140" w:type="dxa"/>
            <w:vAlign w:val="bottom"/>
          </w:tcPr>
          <w:p>
            <w:pPr>
              <w:spacing w:after="0"/>
              <w:rPr>
                <w:sz w:val="14"/>
                <w:szCs w:val="14"/>
                <w:color w:val="auto"/>
              </w:rPr>
            </w:pPr>
          </w:p>
        </w:tc>
        <w:tc>
          <w:tcPr>
            <w:tcW w:w="1100" w:type="dxa"/>
            <w:vAlign w:val="bottom"/>
            <w:gridSpan w:val="2"/>
          </w:tcPr>
          <w:p>
            <w:pPr>
              <w:ind w:left="40"/>
              <w:spacing w:after="0" w:line="169" w:lineRule="exact"/>
              <w:rPr>
                <w:sz w:val="20"/>
                <w:szCs w:val="20"/>
                <w:color w:val="auto"/>
              </w:rPr>
            </w:pPr>
            <w:r>
              <w:rPr>
                <w:rFonts w:ascii="Arial" w:cs="Arial" w:eastAsia="Arial" w:hAnsi="Arial"/>
                <w:sz w:val="18"/>
                <w:szCs w:val="18"/>
                <w:color w:val="auto"/>
              </w:rPr>
              <w:t>August 31,</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ind w:left="40"/>
              <w:spacing w:after="0" w:line="169" w:lineRule="exact"/>
              <w:rPr>
                <w:sz w:val="20"/>
                <w:szCs w:val="20"/>
                <w:color w:val="auto"/>
              </w:rPr>
            </w:pPr>
            <w:r>
              <w:rPr>
                <w:rFonts w:ascii="Arial" w:cs="Arial" w:eastAsia="Arial" w:hAnsi="Arial"/>
                <w:sz w:val="18"/>
                <w:szCs w:val="18"/>
                <w:color w:val="auto"/>
              </w:rPr>
              <w:t>August 31,</w:t>
            </w:r>
          </w:p>
        </w:tc>
        <w:tc>
          <w:tcPr>
            <w:tcW w:w="140" w:type="dxa"/>
            <w:vAlign w:val="bottom"/>
          </w:tcPr>
          <w:p>
            <w:pPr>
              <w:spacing w:after="0"/>
              <w:rPr>
                <w:sz w:val="14"/>
                <w:szCs w:val="14"/>
                <w:color w:val="auto"/>
              </w:rPr>
            </w:pPr>
          </w:p>
        </w:tc>
        <w:tc>
          <w:tcPr>
            <w:tcW w:w="1120" w:type="dxa"/>
            <w:vAlign w:val="bottom"/>
            <w:gridSpan w:val="2"/>
          </w:tcPr>
          <w:p>
            <w:pPr>
              <w:ind w:left="40"/>
              <w:spacing w:after="0" w:line="169" w:lineRule="exact"/>
              <w:rPr>
                <w:sz w:val="20"/>
                <w:szCs w:val="20"/>
                <w:color w:val="auto"/>
              </w:rPr>
            </w:pPr>
            <w:r>
              <w:rPr>
                <w:rFonts w:ascii="Arial" w:cs="Arial" w:eastAsia="Arial" w:hAnsi="Arial"/>
                <w:sz w:val="18"/>
                <w:szCs w:val="18"/>
                <w:color w:val="auto"/>
              </w:rPr>
              <w:t>August 31,</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243"/>
        </w:trPr>
        <w:tc>
          <w:tcPr>
            <w:tcW w:w="28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gridSpan w:val="2"/>
          </w:tcPr>
          <w:p>
            <w:pPr>
              <w:ind w:left="340"/>
              <w:spacing w:after="0"/>
              <w:rPr>
                <w:sz w:val="20"/>
                <w:szCs w:val="20"/>
                <w:color w:val="auto"/>
              </w:rPr>
            </w:pPr>
            <w:r>
              <w:rPr>
                <w:rFonts w:ascii="Arial" w:cs="Arial" w:eastAsia="Arial" w:hAnsi="Arial"/>
                <w:sz w:val="18"/>
                <w:szCs w:val="18"/>
                <w:color w:val="auto"/>
                <w:w w:val="85"/>
              </w:rPr>
              <w:t>Change</w:t>
            </w:r>
          </w:p>
        </w:tc>
        <w:tc>
          <w:tcPr>
            <w:tcW w:w="5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gridSpan w:val="2"/>
          </w:tcPr>
          <w:p>
            <w:pPr>
              <w:ind w:left="380"/>
              <w:spacing w:after="0"/>
              <w:rPr>
                <w:sz w:val="20"/>
                <w:szCs w:val="20"/>
                <w:color w:val="auto"/>
              </w:rPr>
            </w:pPr>
            <w:r>
              <w:rPr>
                <w:rFonts w:ascii="Arial" w:cs="Arial" w:eastAsia="Arial" w:hAnsi="Arial"/>
                <w:sz w:val="18"/>
                <w:szCs w:val="18"/>
                <w:color w:val="auto"/>
                <w:w w:val="88"/>
              </w:rPr>
              <w:t>Change</w:t>
            </w:r>
          </w:p>
        </w:tc>
        <w:tc>
          <w:tcPr>
            <w:tcW w:w="500" w:type="dxa"/>
            <w:vAlign w:val="bottom"/>
            <w:tcBorders>
              <w:bottom w:val="single" w:sz="8" w:color="auto"/>
            </w:tcBorders>
          </w:tcPr>
          <w:p>
            <w:pPr>
              <w:spacing w:after="0"/>
              <w:rPr>
                <w:sz w:val="21"/>
                <w:szCs w:val="21"/>
                <w:color w:val="auto"/>
              </w:rPr>
            </w:pPr>
          </w:p>
        </w:tc>
      </w:tr>
      <w:tr>
        <w:trPr>
          <w:trHeight w:val="223"/>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 development costs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33,138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28,650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4,488</w:t>
            </w:r>
          </w:p>
        </w:tc>
        <w:tc>
          <w:tcPr>
            <w:tcW w:w="3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98,396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85,966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12,430</w:t>
            </w:r>
          </w:p>
        </w:tc>
        <w:tc>
          <w:tcPr>
            <w:tcW w:w="3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r>
      <w:tr>
        <w:trPr>
          <w:trHeight w:val="230"/>
        </w:trPr>
        <w:tc>
          <w:tcPr>
            <w:tcW w:w="286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i w:val="1"/>
                <w:iCs w:val="1"/>
                <w:color w:val="auto"/>
              </w:rPr>
              <w:t>19 %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i w:val="1"/>
                <w:iCs w:val="1"/>
                <w:color w:val="auto"/>
              </w:rPr>
              <w:t>19 %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i w:val="1"/>
                <w:iCs w:val="1"/>
                <w:color w:val="auto"/>
              </w:rPr>
              <w:t>19 %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i w:val="1"/>
                <w:iCs w:val="1"/>
                <w:color w:val="auto"/>
              </w:rPr>
              <w:t>19 %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175"/>
        </w:trPr>
        <w:tc>
          <w:tcPr>
            <w:tcW w:w="28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5"/>
              </w:rPr>
              <w:t>Components of product development</w:t>
            </w: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r>
      <w:tr>
        <w:trPr>
          <w:trHeight w:val="243"/>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r>
      <w:tr>
        <w:trPr>
          <w:trHeight w:val="230"/>
        </w:trPr>
        <w:tc>
          <w:tcPr>
            <w:tcW w:w="2860" w:type="dxa"/>
            <w:vAlign w:val="bottom"/>
          </w:tcPr>
          <w:p>
            <w:pPr>
              <w:ind w:left="240"/>
              <w:spacing w:after="0"/>
              <w:rPr>
                <w:sz w:val="20"/>
                <w:szCs w:val="20"/>
                <w:color w:val="auto"/>
              </w:rPr>
            </w:pPr>
            <w:r>
              <w:rPr>
                <w:rFonts w:ascii="Arial" w:cs="Arial" w:eastAsia="Arial" w:hAnsi="Arial"/>
                <w:sz w:val="18"/>
                <w:szCs w:val="18"/>
                <w:color w:val="auto"/>
              </w:rPr>
              <w:t>Personnel related costs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31,528</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28,044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3,484</w:t>
            </w:r>
          </w:p>
        </w:tc>
        <w:tc>
          <w:tcPr>
            <w:tcW w:w="3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94,647</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83,277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11,370</w:t>
            </w:r>
          </w:p>
        </w:tc>
        <w:tc>
          <w:tcPr>
            <w:tcW w:w="3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14 %</w:t>
            </w:r>
          </w:p>
        </w:tc>
      </w:tr>
      <w:tr>
        <w:trPr>
          <w:trHeight w:val="230"/>
        </w:trPr>
        <w:tc>
          <w:tcPr>
            <w:tcW w:w="286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9"/>
              </w:rPr>
              <w:t>Contractors and outside services</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1,376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3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400 %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3,166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3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59 %</w:t>
            </w:r>
          </w:p>
        </w:tc>
      </w:tr>
      <w:tr>
        <w:trPr>
          <w:trHeight w:val="229"/>
        </w:trPr>
        <w:tc>
          <w:tcPr>
            <w:tcW w:w="28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w w:val="98"/>
              </w:rPr>
              <w:t>Other product development costs</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234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331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36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9"/>
              </w:rPr>
              <w:t>(29)%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583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700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36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5"/>
              </w:rPr>
              <w:t>(17)%</w:t>
            </w:r>
          </w:p>
        </w:tc>
      </w:tr>
      <w:tr>
        <w:trPr>
          <w:trHeight w:val="223"/>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product development costs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33,138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28,650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4,488</w:t>
            </w:r>
          </w:p>
        </w:tc>
        <w:tc>
          <w:tcPr>
            <w:tcW w:w="3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98,396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85,966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12,430</w:t>
            </w:r>
          </w:p>
        </w:tc>
        <w:tc>
          <w:tcPr>
            <w:tcW w:w="3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r>
    </w:tbl>
    <w:p>
      <w:pPr>
        <w:spacing w:after="0" w:line="323"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Product development expenses increased in all periods primarily due to increased personnel related costs associated with our acquisition of MarkLogic, as well as an increase in contractors and outside services costs, partially offset by decreases in other product development costs.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0"/>
        </w:trPr>
        <w:tc>
          <w:tcPr>
            <w:tcW w:w="2860" w:type="dxa"/>
            <w:vAlign w:val="bottom"/>
          </w:tcPr>
          <w:p>
            <w:pPr>
              <w:spacing w:after="0"/>
              <w:rPr>
                <w:sz w:val="20"/>
                <w:szCs w:val="20"/>
                <w:color w:val="auto"/>
              </w:rPr>
            </w:pPr>
            <w:r>
              <w:rPr>
                <w:rFonts w:ascii="Arial" w:cs="Arial" w:eastAsia="Arial" w:hAnsi="Arial"/>
                <w:sz w:val="18"/>
                <w:szCs w:val="18"/>
                <w:i w:val="1"/>
                <w:iCs w:val="1"/>
                <w:color w:val="auto"/>
              </w:rPr>
              <w:t>General and Administrative</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499"/>
        </w:trPr>
        <w:tc>
          <w:tcPr>
            <w:tcW w:w="28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6"/>
          </w:tcPr>
          <w:p>
            <w:pPr>
              <w:ind w:left="40"/>
              <w:spacing w:after="0"/>
              <w:rPr>
                <w:sz w:val="20"/>
                <w:szCs w:val="20"/>
                <w:color w:val="auto"/>
              </w:rPr>
            </w:pPr>
            <w:r>
              <w:rPr>
                <w:rFonts w:ascii="Arial" w:cs="Arial" w:eastAsia="Arial" w:hAnsi="Arial"/>
                <w:sz w:val="18"/>
                <w:szCs w:val="18"/>
                <w:color w:val="auto"/>
              </w:rPr>
              <w:t>Three Months Ended</w:t>
            </w:r>
          </w:p>
        </w:tc>
        <w:tc>
          <w:tcPr>
            <w:tcW w:w="5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6"/>
          </w:tcPr>
          <w:p>
            <w:pPr>
              <w:ind w:left="80"/>
              <w:spacing w:after="0"/>
              <w:rPr>
                <w:sz w:val="20"/>
                <w:szCs w:val="20"/>
                <w:color w:val="auto"/>
              </w:rPr>
            </w:pPr>
            <w:r>
              <w:rPr>
                <w:rFonts w:ascii="Arial" w:cs="Arial" w:eastAsia="Arial" w:hAnsi="Arial"/>
                <w:sz w:val="18"/>
                <w:szCs w:val="18"/>
                <w:color w:val="auto"/>
              </w:rPr>
              <w:t>Nine Months Ended</w:t>
            </w:r>
          </w:p>
        </w:tc>
        <w:tc>
          <w:tcPr>
            <w:tcW w:w="500" w:type="dxa"/>
            <w:vAlign w:val="bottom"/>
            <w:tcBorders>
              <w:bottom w:val="single" w:sz="8" w:color="auto"/>
            </w:tcBorders>
          </w:tcPr>
          <w:p>
            <w:pPr>
              <w:spacing w:after="0"/>
              <w:rPr>
                <w:sz w:val="24"/>
                <w:szCs w:val="24"/>
                <w:color w:val="auto"/>
              </w:rPr>
            </w:pPr>
          </w:p>
        </w:tc>
      </w:tr>
      <w:tr>
        <w:trPr>
          <w:trHeight w:val="169"/>
        </w:trPr>
        <w:tc>
          <w:tcPr>
            <w:tcW w:w="2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ind w:left="20"/>
              <w:spacing w:after="0" w:line="169" w:lineRule="exact"/>
              <w:rPr>
                <w:sz w:val="20"/>
                <w:szCs w:val="20"/>
                <w:color w:val="auto"/>
              </w:rPr>
            </w:pPr>
            <w:r>
              <w:rPr>
                <w:rFonts w:ascii="Arial" w:cs="Arial" w:eastAsia="Arial" w:hAnsi="Arial"/>
                <w:sz w:val="18"/>
                <w:szCs w:val="18"/>
                <w:color w:val="auto"/>
              </w:rPr>
              <w:t>August 31,</w:t>
            </w:r>
          </w:p>
        </w:tc>
        <w:tc>
          <w:tcPr>
            <w:tcW w:w="140" w:type="dxa"/>
            <w:vAlign w:val="bottom"/>
          </w:tcPr>
          <w:p>
            <w:pPr>
              <w:spacing w:after="0"/>
              <w:rPr>
                <w:sz w:val="14"/>
                <w:szCs w:val="14"/>
                <w:color w:val="auto"/>
              </w:rPr>
            </w:pPr>
          </w:p>
        </w:tc>
        <w:tc>
          <w:tcPr>
            <w:tcW w:w="1120" w:type="dxa"/>
            <w:vAlign w:val="bottom"/>
            <w:gridSpan w:val="2"/>
          </w:tcPr>
          <w:p>
            <w:pPr>
              <w:ind w:left="40"/>
              <w:spacing w:after="0" w:line="169" w:lineRule="exact"/>
              <w:rPr>
                <w:sz w:val="20"/>
                <w:szCs w:val="20"/>
                <w:color w:val="auto"/>
              </w:rPr>
            </w:pPr>
            <w:r>
              <w:rPr>
                <w:rFonts w:ascii="Arial" w:cs="Arial" w:eastAsia="Arial" w:hAnsi="Arial"/>
                <w:sz w:val="18"/>
                <w:szCs w:val="18"/>
                <w:color w:val="auto"/>
              </w:rPr>
              <w:t>August 31,</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ind w:left="40"/>
              <w:spacing w:after="0" w:line="169" w:lineRule="exact"/>
              <w:rPr>
                <w:sz w:val="20"/>
                <w:szCs w:val="20"/>
                <w:color w:val="auto"/>
              </w:rPr>
            </w:pPr>
            <w:r>
              <w:rPr>
                <w:rFonts w:ascii="Arial" w:cs="Arial" w:eastAsia="Arial" w:hAnsi="Arial"/>
                <w:sz w:val="18"/>
                <w:szCs w:val="18"/>
                <w:color w:val="auto"/>
              </w:rPr>
              <w:t>August 31,</w:t>
            </w:r>
          </w:p>
        </w:tc>
        <w:tc>
          <w:tcPr>
            <w:tcW w:w="160" w:type="dxa"/>
            <w:vAlign w:val="bottom"/>
          </w:tcPr>
          <w:p>
            <w:pPr>
              <w:spacing w:after="0"/>
              <w:rPr>
                <w:sz w:val="14"/>
                <w:szCs w:val="14"/>
                <w:color w:val="auto"/>
              </w:rPr>
            </w:pPr>
          </w:p>
        </w:tc>
        <w:tc>
          <w:tcPr>
            <w:tcW w:w="1120" w:type="dxa"/>
            <w:vAlign w:val="bottom"/>
            <w:gridSpan w:val="2"/>
          </w:tcPr>
          <w:p>
            <w:pPr>
              <w:ind w:left="40"/>
              <w:spacing w:after="0" w:line="169" w:lineRule="exact"/>
              <w:rPr>
                <w:sz w:val="20"/>
                <w:szCs w:val="20"/>
                <w:color w:val="auto"/>
              </w:rPr>
            </w:pPr>
            <w:r>
              <w:rPr>
                <w:rFonts w:ascii="Arial" w:cs="Arial" w:eastAsia="Arial" w:hAnsi="Arial"/>
                <w:sz w:val="18"/>
                <w:szCs w:val="18"/>
                <w:color w:val="auto"/>
              </w:rPr>
              <w:t>August 31,</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243"/>
        </w:trPr>
        <w:tc>
          <w:tcPr>
            <w:tcW w:w="28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gridSpan w:val="2"/>
          </w:tcPr>
          <w:p>
            <w:pPr>
              <w:ind w:left="360"/>
              <w:spacing w:after="0"/>
              <w:rPr>
                <w:sz w:val="20"/>
                <w:szCs w:val="20"/>
                <w:color w:val="auto"/>
              </w:rPr>
            </w:pPr>
            <w:r>
              <w:rPr>
                <w:rFonts w:ascii="Arial" w:cs="Arial" w:eastAsia="Arial" w:hAnsi="Arial"/>
                <w:sz w:val="18"/>
                <w:szCs w:val="18"/>
                <w:color w:val="auto"/>
                <w:w w:val="88"/>
              </w:rPr>
              <w:t>Change</w:t>
            </w:r>
          </w:p>
        </w:tc>
        <w:tc>
          <w:tcPr>
            <w:tcW w:w="5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gridSpan w:val="2"/>
          </w:tcPr>
          <w:p>
            <w:pPr>
              <w:ind w:left="380"/>
              <w:spacing w:after="0"/>
              <w:rPr>
                <w:sz w:val="20"/>
                <w:szCs w:val="20"/>
                <w:color w:val="auto"/>
              </w:rPr>
            </w:pPr>
            <w:r>
              <w:rPr>
                <w:rFonts w:ascii="Arial" w:cs="Arial" w:eastAsia="Arial" w:hAnsi="Arial"/>
                <w:sz w:val="18"/>
                <w:szCs w:val="18"/>
                <w:color w:val="auto"/>
                <w:w w:val="88"/>
              </w:rPr>
              <w:t>Change</w:t>
            </w:r>
          </w:p>
        </w:tc>
        <w:tc>
          <w:tcPr>
            <w:tcW w:w="500" w:type="dxa"/>
            <w:vAlign w:val="bottom"/>
            <w:tcBorders>
              <w:bottom w:val="single" w:sz="8" w:color="auto"/>
            </w:tcBorders>
          </w:tcPr>
          <w:p>
            <w:pPr>
              <w:spacing w:after="0"/>
              <w:rPr>
                <w:sz w:val="21"/>
                <w:szCs w:val="21"/>
                <w:color w:val="auto"/>
              </w:rPr>
            </w:pPr>
          </w:p>
        </w:tc>
      </w:tr>
      <w:tr>
        <w:trPr>
          <w:trHeight w:val="223"/>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20,791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20,141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3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61,046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56,339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4,707</w:t>
            </w:r>
          </w:p>
        </w:tc>
        <w:tc>
          <w:tcPr>
            <w:tcW w:w="3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8 %</w:t>
            </w:r>
          </w:p>
        </w:tc>
      </w:tr>
      <w:tr>
        <w:trPr>
          <w:trHeight w:val="229"/>
        </w:trPr>
        <w:tc>
          <w:tcPr>
            <w:tcW w:w="286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i w:val="1"/>
                <w:iCs w:val="1"/>
                <w:color w:val="auto"/>
              </w:rPr>
              <w:t>12 %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i w:val="1"/>
                <w:iCs w:val="1"/>
                <w:color w:val="auto"/>
              </w:rPr>
              <w:t>13 %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i w:val="1"/>
                <w:iCs w:val="1"/>
                <w:color w:val="auto"/>
              </w:rPr>
              <w:t>12 %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i w:val="1"/>
                <w:iCs w:val="1"/>
                <w:color w:val="auto"/>
              </w:rPr>
              <w:t>13 %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176"/>
        </w:trPr>
        <w:tc>
          <w:tcPr>
            <w:tcW w:w="28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Components of general and</w:t>
            </w: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r>
      <w:tr>
        <w:trPr>
          <w:trHeight w:val="243"/>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administrative:</w:t>
            </w: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r>
      <w:tr>
        <w:trPr>
          <w:trHeight w:val="230"/>
        </w:trPr>
        <w:tc>
          <w:tcPr>
            <w:tcW w:w="2860" w:type="dxa"/>
            <w:vAlign w:val="bottom"/>
          </w:tcPr>
          <w:p>
            <w:pPr>
              <w:ind w:left="240"/>
              <w:spacing w:after="0"/>
              <w:rPr>
                <w:sz w:val="20"/>
                <w:szCs w:val="20"/>
                <w:color w:val="auto"/>
              </w:rPr>
            </w:pPr>
            <w:r>
              <w:rPr>
                <w:rFonts w:ascii="Arial" w:cs="Arial" w:eastAsia="Arial" w:hAnsi="Arial"/>
                <w:sz w:val="18"/>
                <w:szCs w:val="18"/>
                <w:color w:val="auto"/>
              </w:rPr>
              <w:t>Personnel related costs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15,871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14,798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1,073</w:t>
            </w:r>
          </w:p>
        </w:tc>
        <w:tc>
          <w:tcPr>
            <w:tcW w:w="3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7 %</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49,146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44,600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center"/>
              <w:spacing w:after="0"/>
              <w:rPr>
                <w:sz w:val="20"/>
                <w:szCs w:val="20"/>
                <w:color w:val="auto"/>
              </w:rPr>
            </w:pPr>
            <w:r>
              <w:rPr>
                <w:rFonts w:ascii="Arial" w:cs="Arial" w:eastAsia="Arial" w:hAnsi="Arial"/>
                <w:sz w:val="18"/>
                <w:szCs w:val="18"/>
                <w:color w:val="auto"/>
                <w:w w:val="88"/>
              </w:rPr>
              <w:t>4,546</w:t>
            </w:r>
          </w:p>
        </w:tc>
        <w:tc>
          <w:tcPr>
            <w:tcW w:w="3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10 %</w:t>
            </w:r>
          </w:p>
        </w:tc>
      </w:tr>
      <w:tr>
        <w:trPr>
          <w:trHeight w:val="229"/>
        </w:trPr>
        <w:tc>
          <w:tcPr>
            <w:tcW w:w="286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9"/>
              </w:rPr>
              <w:t>Contractors and outside services</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3,592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2,152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w:t>
            </w:r>
          </w:p>
        </w:tc>
        <w:tc>
          <w:tcPr>
            <w:tcW w:w="3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9,271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6,481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2,790</w:t>
            </w:r>
          </w:p>
        </w:tc>
        <w:tc>
          <w:tcPr>
            <w:tcW w:w="3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43 %</w:t>
            </w:r>
          </w:p>
        </w:tc>
      </w:tr>
      <w:tr>
        <w:trPr>
          <w:trHeight w:val="176"/>
        </w:trPr>
        <w:tc>
          <w:tcPr>
            <w:tcW w:w="2860" w:type="dxa"/>
            <w:vAlign w:val="bottom"/>
          </w:tcPr>
          <w:p>
            <w:pPr>
              <w:ind w:left="240"/>
              <w:spacing w:after="0" w:line="176" w:lineRule="exact"/>
              <w:rPr>
                <w:sz w:val="20"/>
                <w:szCs w:val="20"/>
                <w:color w:val="auto"/>
              </w:rPr>
            </w:pPr>
            <w:r>
              <w:rPr>
                <w:rFonts w:ascii="Arial" w:cs="Arial" w:eastAsia="Arial" w:hAnsi="Arial"/>
                <w:sz w:val="18"/>
                <w:szCs w:val="18"/>
                <w:color w:val="auto"/>
                <w:w w:val="99"/>
              </w:rPr>
              <w:t>Other general and administrative</w:t>
            </w: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243"/>
        </w:trPr>
        <w:tc>
          <w:tcPr>
            <w:tcW w:w="28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costs</w:t>
            </w: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1,328</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3,191</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(1,863)</w:t>
            </w:r>
          </w:p>
        </w:tc>
        <w:tc>
          <w:tcPr>
            <w:tcW w:w="360" w:type="dxa"/>
            <w:vAlign w:val="bottom"/>
            <w:tcBorders>
              <w:bottom w:val="single" w:sz="8" w:color="CCEEFF"/>
            </w:tcBorders>
          </w:tcPr>
          <w:p>
            <w:pPr>
              <w:spacing w:after="0"/>
              <w:rPr>
                <w:sz w:val="21"/>
                <w:szCs w:val="21"/>
                <w:color w:val="auto"/>
              </w:rPr>
            </w:pPr>
          </w:p>
        </w:tc>
        <w:tc>
          <w:tcPr>
            <w:tcW w:w="5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5"/>
              </w:rPr>
              <w:t>(58)%</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2,629</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5,258</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(2,629)</w:t>
            </w:r>
          </w:p>
        </w:tc>
        <w:tc>
          <w:tcPr>
            <w:tcW w:w="360" w:type="dxa"/>
            <w:vAlign w:val="bottom"/>
            <w:tcBorders>
              <w:bottom w:val="single" w:sz="8" w:color="CCEEFF"/>
            </w:tcBorders>
          </w:tcPr>
          <w:p>
            <w:pPr>
              <w:spacing w:after="0"/>
              <w:rPr>
                <w:sz w:val="21"/>
                <w:szCs w:val="21"/>
                <w:color w:val="auto"/>
              </w:rPr>
            </w:pPr>
          </w:p>
        </w:tc>
        <w:tc>
          <w:tcPr>
            <w:tcW w:w="5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5"/>
              </w:rPr>
              <w:t>(50)%</w:t>
            </w:r>
          </w:p>
        </w:tc>
      </w:tr>
      <w:tr>
        <w:trPr>
          <w:trHeight w:val="156"/>
        </w:trPr>
        <w:tc>
          <w:tcPr>
            <w:tcW w:w="286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Total cost of general and</w:t>
            </w:r>
          </w:p>
        </w:tc>
        <w:tc>
          <w:tcPr>
            <w:tcW w:w="1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r>
      <w:tr>
        <w:trPr>
          <w:trHeight w:val="243"/>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administrative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20,791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20,141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36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61,046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56,339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4,707</w:t>
            </w:r>
          </w:p>
        </w:tc>
        <w:tc>
          <w:tcPr>
            <w:tcW w:w="36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8 %</w:t>
            </w:r>
          </w:p>
        </w:tc>
      </w:tr>
    </w:tbl>
    <w:p>
      <w:pPr>
        <w:spacing w:after="0" w:line="323"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General and administrative expenses include the costs of our finance, human resources, legal, information systems and administrative departments. General and administrative expenses increased in all periods primarily due to higher personnel costs associated with our acquisition of MarkLogic, as well as an increase in contractors and outside services costs, partially offset by a decrease in other general and administrative costs.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60" w:type="dxa"/>
            <w:vAlign w:val="bottom"/>
          </w:tcPr>
          <w:p>
            <w:pPr>
              <w:spacing w:after="0"/>
              <w:rPr>
                <w:sz w:val="20"/>
                <w:szCs w:val="20"/>
                <w:color w:val="auto"/>
              </w:rPr>
            </w:pPr>
            <w:r>
              <w:rPr>
                <w:rFonts w:ascii="Arial" w:cs="Arial" w:eastAsia="Arial" w:hAnsi="Arial"/>
                <w:sz w:val="18"/>
                <w:szCs w:val="18"/>
                <w:i w:val="1"/>
                <w:iCs w:val="1"/>
                <w:color w:val="auto"/>
              </w:rPr>
              <w:t>Amortization of Intangibles</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6"/>
        </w:trPr>
        <w:tc>
          <w:tcPr>
            <w:tcW w:w="33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gridSpan w:val="6"/>
          </w:tcPr>
          <w:p>
            <w:pPr>
              <w:ind w:left="80"/>
              <w:spacing w:after="0"/>
              <w:rPr>
                <w:sz w:val="20"/>
                <w:szCs w:val="20"/>
                <w:color w:val="auto"/>
              </w:rPr>
            </w:pPr>
            <w:r>
              <w:rPr>
                <w:rFonts w:ascii="Arial" w:cs="Arial" w:eastAsia="Arial" w:hAnsi="Arial"/>
                <w:sz w:val="18"/>
                <w:szCs w:val="18"/>
                <w:color w:val="auto"/>
                <w:w w:val="95"/>
              </w:rPr>
              <w:t>Three Months Ended</w:t>
            </w:r>
          </w:p>
        </w:tc>
        <w:tc>
          <w:tcPr>
            <w:tcW w:w="10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color w:val="auto"/>
                <w:w w:val="96"/>
              </w:rPr>
              <w:t>Nine Months Ended</w:t>
            </w:r>
          </w:p>
        </w:tc>
        <w:tc>
          <w:tcPr>
            <w:tcW w:w="1120" w:type="dxa"/>
            <w:vAlign w:val="bottom"/>
            <w:tcBorders>
              <w:bottom w:val="single" w:sz="8" w:color="auto"/>
            </w:tcBorders>
          </w:tcPr>
          <w:p>
            <w:pPr>
              <w:spacing w:after="0"/>
              <w:rPr>
                <w:sz w:val="22"/>
                <w:szCs w:val="22"/>
                <w:color w:val="auto"/>
              </w:rPr>
            </w:pPr>
          </w:p>
        </w:tc>
      </w:tr>
      <w:tr>
        <w:trPr>
          <w:trHeight w:val="169"/>
        </w:trPr>
        <w:tc>
          <w:tcPr>
            <w:tcW w:w="3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ind w:right="10"/>
              <w:spacing w:after="0" w:line="169" w:lineRule="exact"/>
              <w:rPr>
                <w:sz w:val="20"/>
                <w:szCs w:val="20"/>
                <w:color w:val="auto"/>
              </w:rPr>
            </w:pPr>
            <w:r>
              <w:rPr>
                <w:rFonts w:ascii="Arial" w:cs="Arial" w:eastAsia="Arial" w:hAnsi="Arial"/>
                <w:sz w:val="18"/>
                <w:szCs w:val="18"/>
                <w:color w:val="auto"/>
                <w:w w:val="95"/>
              </w:rPr>
              <w:t>August 31,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3"/>
          </w:tcPr>
          <w:p>
            <w:pPr>
              <w:ind w:left="40"/>
              <w:spacing w:after="0" w:line="169" w:lineRule="exact"/>
              <w:rPr>
                <w:sz w:val="20"/>
                <w:szCs w:val="20"/>
                <w:color w:val="auto"/>
              </w:rPr>
            </w:pPr>
            <w:r>
              <w:rPr>
                <w:rFonts w:ascii="Arial" w:cs="Arial" w:eastAsia="Arial" w:hAnsi="Arial"/>
                <w:sz w:val="18"/>
                <w:szCs w:val="18"/>
                <w:color w:val="auto"/>
              </w:rPr>
              <w:t>August 31,</w:t>
            </w: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130"/>
              <w:spacing w:after="0" w:line="169" w:lineRule="exact"/>
              <w:rPr>
                <w:sz w:val="20"/>
                <w:szCs w:val="20"/>
                <w:color w:val="auto"/>
              </w:rPr>
            </w:pPr>
            <w:r>
              <w:rPr>
                <w:rFonts w:ascii="Arial" w:cs="Arial" w:eastAsia="Arial" w:hAnsi="Arial"/>
                <w:sz w:val="18"/>
                <w:szCs w:val="18"/>
                <w:color w:val="auto"/>
                <w:w w:val="95"/>
              </w:rPr>
              <w:t>August 31,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3"/>
          </w:tcPr>
          <w:p>
            <w:pPr>
              <w:ind w:left="40"/>
              <w:spacing w:after="0" w:line="169" w:lineRule="exact"/>
              <w:rPr>
                <w:sz w:val="20"/>
                <w:szCs w:val="20"/>
                <w:color w:val="auto"/>
              </w:rPr>
            </w:pPr>
            <w:r>
              <w:rPr>
                <w:rFonts w:ascii="Arial" w:cs="Arial" w:eastAsia="Arial" w:hAnsi="Arial"/>
                <w:sz w:val="18"/>
                <w:szCs w:val="18"/>
                <w:color w:val="auto"/>
              </w:rPr>
              <w:t>August 31,</w:t>
            </w:r>
          </w:p>
        </w:tc>
        <w:tc>
          <w:tcPr>
            <w:tcW w:w="1120" w:type="dxa"/>
            <w:vAlign w:val="bottom"/>
          </w:tcPr>
          <w:p>
            <w:pPr>
              <w:spacing w:after="0"/>
              <w:rPr>
                <w:sz w:val="14"/>
                <w:szCs w:val="14"/>
                <w:color w:val="auto"/>
              </w:rPr>
            </w:pPr>
          </w:p>
        </w:tc>
      </w:tr>
      <w:tr>
        <w:trPr>
          <w:trHeight w:val="243"/>
        </w:trPr>
        <w:tc>
          <w:tcPr>
            <w:tcW w:w="33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21"/>
                <w:szCs w:val="21"/>
                <w:color w:val="auto"/>
              </w:rPr>
            </w:pPr>
          </w:p>
        </w:tc>
        <w:tc>
          <w:tcPr>
            <w:tcW w:w="940" w:type="dxa"/>
            <w:vAlign w:val="bottom"/>
          </w:tcPr>
          <w:p>
            <w:pPr>
              <w:jc w:val="right"/>
              <w:ind w:right="21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33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gridSpan w:val="3"/>
          </w:tcPr>
          <w:p>
            <w:pPr>
              <w:jc w:val="right"/>
              <w:ind w:right="430"/>
              <w:spacing w:after="0"/>
              <w:rPr>
                <w:sz w:val="20"/>
                <w:szCs w:val="20"/>
                <w:color w:val="auto"/>
              </w:rPr>
            </w:pPr>
            <w:r>
              <w:rPr>
                <w:rFonts w:ascii="Arial" w:cs="Arial" w:eastAsia="Arial" w:hAnsi="Arial"/>
                <w:sz w:val="18"/>
                <w:szCs w:val="18"/>
                <w:color w:val="auto"/>
                <w:w w:val="95"/>
              </w:rPr>
              <w:t>% Change</w:t>
            </w:r>
          </w:p>
        </w:tc>
        <w:tc>
          <w:tcPr>
            <w:tcW w:w="1060" w:type="dxa"/>
            <w:vAlign w:val="bottom"/>
          </w:tcPr>
          <w:p>
            <w:pPr>
              <w:jc w:val="right"/>
              <w:ind w:right="33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33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color w:val="auto"/>
                <w:w w:val="99"/>
              </w:rPr>
              <w:t>% Change</w:t>
            </w:r>
          </w:p>
        </w:tc>
      </w:tr>
      <w:tr>
        <w:trPr>
          <w:trHeight w:val="223"/>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intangibles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17,668</w:t>
            </w:r>
          </w:p>
        </w:tc>
        <w:tc>
          <w:tcPr>
            <w:tcW w:w="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11,716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51 %</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48,825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35,330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38 %</w:t>
            </w:r>
          </w:p>
        </w:tc>
      </w:tr>
      <w:tr>
        <w:trPr>
          <w:trHeight w:val="230"/>
        </w:trPr>
        <w:tc>
          <w:tcPr>
            <w:tcW w:w="336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1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i w:val="1"/>
                <w:iCs w:val="1"/>
                <w:color w:val="auto"/>
              </w:rPr>
              <w:t>10 %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i w:val="1"/>
                <w:iCs w:val="1"/>
                <w:color w:val="auto"/>
              </w:rPr>
              <w:t>8 %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9 %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i w:val="1"/>
                <w:iCs w:val="1"/>
                <w:color w:val="auto"/>
              </w:rPr>
              <w:t>8 %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r>
    </w:tbl>
    <w:p>
      <w:pPr>
        <w:spacing w:after="0" w:line="30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Amortization of intangibles included in operating expenses primarily represents the amortization of value assigned to intangible assets obtained in business combinations other than assets identified as purchased technology. Amortization of intangibles increased due to the addition of MarkLogic intangible assets, as discussed above.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Cyber Incident and Vulnerability Response Expenses, Net</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6"/>
          </w:tcPr>
          <w:p>
            <w:pPr>
              <w:ind w:left="80"/>
              <w:spacing w:after="0"/>
              <w:rPr>
                <w:sz w:val="20"/>
                <w:szCs w:val="20"/>
                <w:color w:val="auto"/>
              </w:rPr>
            </w:pPr>
            <w:r>
              <w:rPr>
                <w:rFonts w:ascii="Arial" w:cs="Arial" w:eastAsia="Arial" w:hAnsi="Arial"/>
                <w:sz w:val="18"/>
                <w:szCs w:val="18"/>
                <w:color w:val="auto"/>
                <w:w w:val="93"/>
              </w:rPr>
              <w:t>Three Months Ended</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5"/>
          </w:tcPr>
          <w:p>
            <w:pPr>
              <w:ind w:left="80"/>
              <w:spacing w:after="0"/>
              <w:rPr>
                <w:sz w:val="20"/>
                <w:szCs w:val="20"/>
                <w:color w:val="auto"/>
              </w:rPr>
            </w:pPr>
            <w:r>
              <w:rPr>
                <w:rFonts w:ascii="Arial" w:cs="Arial" w:eastAsia="Arial" w:hAnsi="Arial"/>
                <w:sz w:val="18"/>
                <w:szCs w:val="18"/>
                <w:color w:val="auto"/>
                <w:w w:val="93"/>
              </w:rPr>
              <w:t>Nine Months Ended</w:t>
            </w:r>
          </w:p>
        </w:tc>
        <w:tc>
          <w:tcPr>
            <w:tcW w:w="1140" w:type="dxa"/>
            <w:vAlign w:val="bottom"/>
            <w:tcBorders>
              <w:bottom w:val="single" w:sz="8" w:color="auto"/>
            </w:tcBorders>
          </w:tcPr>
          <w:p>
            <w:pPr>
              <w:spacing w:after="0"/>
              <w:rPr>
                <w:sz w:val="20"/>
                <w:szCs w:val="20"/>
                <w:color w:val="auto"/>
              </w:rPr>
            </w:pPr>
          </w:p>
        </w:tc>
      </w:tr>
      <w:tr>
        <w:trPr>
          <w:trHeight w:val="182"/>
        </w:trPr>
        <w:tc>
          <w:tcPr>
            <w:tcW w:w="3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w w:val="95"/>
              </w:rPr>
              <w:t>August 31,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3"/>
          </w:tcPr>
          <w:p>
            <w:pPr>
              <w:jc w:val="right"/>
              <w:ind w:right="420"/>
              <w:spacing w:after="0" w:line="182" w:lineRule="exact"/>
              <w:rPr>
                <w:sz w:val="20"/>
                <w:szCs w:val="20"/>
                <w:color w:val="auto"/>
              </w:rPr>
            </w:pPr>
            <w:r>
              <w:rPr>
                <w:rFonts w:ascii="Arial" w:cs="Arial" w:eastAsia="Arial" w:hAnsi="Arial"/>
                <w:sz w:val="18"/>
                <w:szCs w:val="18"/>
                <w:color w:val="auto"/>
                <w:w w:val="95"/>
              </w:rPr>
              <w:t>August 31,</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ind w:right="10"/>
              <w:spacing w:after="0" w:line="182" w:lineRule="exact"/>
              <w:rPr>
                <w:sz w:val="20"/>
                <w:szCs w:val="20"/>
                <w:color w:val="auto"/>
              </w:rPr>
            </w:pPr>
            <w:r>
              <w:rPr>
                <w:rFonts w:ascii="Arial" w:cs="Arial" w:eastAsia="Arial" w:hAnsi="Arial"/>
                <w:sz w:val="18"/>
                <w:szCs w:val="18"/>
                <w:color w:val="auto"/>
                <w:w w:val="95"/>
              </w:rPr>
              <w:t>August 31,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right"/>
              <w:ind w:right="340"/>
              <w:spacing w:after="0" w:line="182" w:lineRule="exact"/>
              <w:rPr>
                <w:sz w:val="20"/>
                <w:szCs w:val="20"/>
                <w:color w:val="auto"/>
              </w:rPr>
            </w:pPr>
            <w:r>
              <w:rPr>
                <w:rFonts w:ascii="Arial" w:cs="Arial" w:eastAsia="Arial" w:hAnsi="Arial"/>
                <w:sz w:val="18"/>
                <w:szCs w:val="18"/>
                <w:color w:val="auto"/>
                <w:w w:val="95"/>
              </w:rPr>
              <w:t>August 31,</w:t>
            </w:r>
          </w:p>
        </w:tc>
        <w:tc>
          <w:tcPr>
            <w:tcW w:w="1140" w:type="dxa"/>
            <w:vAlign w:val="bottom"/>
          </w:tcPr>
          <w:p>
            <w:pPr>
              <w:spacing w:after="0"/>
              <w:rPr>
                <w:sz w:val="15"/>
                <w:szCs w:val="15"/>
                <w:color w:val="auto"/>
              </w:rPr>
            </w:pPr>
          </w:p>
        </w:tc>
      </w:tr>
      <w:tr>
        <w:trPr>
          <w:trHeight w:val="230"/>
        </w:trPr>
        <w:tc>
          <w:tcPr>
            <w:tcW w:w="35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20"/>
                <w:szCs w:val="20"/>
                <w:color w:val="auto"/>
              </w:rPr>
            </w:pPr>
          </w:p>
        </w:tc>
        <w:tc>
          <w:tcPr>
            <w:tcW w:w="900" w:type="dxa"/>
            <w:vAlign w:val="bottom"/>
          </w:tcPr>
          <w:p>
            <w:pPr>
              <w:jc w:val="right"/>
              <w:ind w:right="190"/>
              <w:spacing w:after="0"/>
              <w:rPr>
                <w:sz w:val="20"/>
                <w:szCs w:val="20"/>
                <w:color w:val="auto"/>
              </w:rPr>
            </w:pPr>
            <w:r>
              <w:rPr>
                <w:rFonts w:ascii="Arial" w:cs="Arial" w:eastAsia="Arial" w:hAnsi="Arial"/>
                <w:sz w:val="18"/>
                <w:szCs w:val="18"/>
                <w:color w:val="auto"/>
              </w:rPr>
              <w:t>2023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3"/>
          </w:tcPr>
          <w:p>
            <w:pPr>
              <w:jc w:val="right"/>
              <w:ind w:right="460"/>
              <w:spacing w:after="0"/>
              <w:rPr>
                <w:sz w:val="20"/>
                <w:szCs w:val="20"/>
                <w:color w:val="auto"/>
              </w:rPr>
            </w:pPr>
            <w:r>
              <w:rPr>
                <w:rFonts w:ascii="Arial" w:cs="Arial" w:eastAsia="Arial" w:hAnsi="Arial"/>
                <w:sz w:val="18"/>
                <w:szCs w:val="18"/>
                <w:color w:val="auto"/>
                <w:w w:val="99"/>
              </w:rPr>
              <w:t>% Change</w:t>
            </w:r>
          </w:p>
        </w:tc>
        <w:tc>
          <w:tcPr>
            <w:tcW w:w="940" w:type="dxa"/>
            <w:vAlign w:val="bottom"/>
          </w:tcPr>
          <w:p>
            <w:pPr>
              <w:jc w:val="right"/>
              <w:ind w:right="21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33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0"/>
                <w:szCs w:val="20"/>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 Change</w:t>
            </w:r>
          </w:p>
        </w:tc>
      </w:tr>
      <w:tr>
        <w:trPr>
          <w:trHeight w:val="168"/>
        </w:trPr>
        <w:tc>
          <w:tcPr>
            <w:tcW w:w="3520" w:type="dxa"/>
            <w:vAlign w:val="bottom"/>
            <w:tcBorders>
              <w:top w:val="single" w:sz="8" w:color="CCEEFF"/>
            </w:tcBorders>
            <w:shd w:val="clear" w:color="auto" w:fill="CCEEFF"/>
          </w:tcPr>
          <w:p>
            <w:pPr>
              <w:ind w:left="20"/>
              <w:spacing w:after="0" w:line="168" w:lineRule="exact"/>
              <w:rPr>
                <w:sz w:val="20"/>
                <w:szCs w:val="20"/>
                <w:color w:val="auto"/>
              </w:rPr>
            </w:pPr>
            <w:r>
              <w:rPr>
                <w:rFonts w:ascii="Arial" w:cs="Arial" w:eastAsia="Arial" w:hAnsi="Arial"/>
                <w:sz w:val="18"/>
                <w:szCs w:val="18"/>
                <w:color w:val="auto"/>
              </w:rPr>
              <w:t>Cyber incident and vulnerability response</w:t>
            </w:r>
          </w:p>
        </w:tc>
        <w:tc>
          <w:tcPr>
            <w:tcW w:w="16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r>
      <w:tr>
        <w:trPr>
          <w:trHeight w:val="230"/>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expenses, net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4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5,126</w:t>
            </w:r>
          </w:p>
        </w:tc>
        <w:tc>
          <w:tcPr>
            <w:tcW w:w="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52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16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i w:val="1"/>
                <w:iCs w:val="1"/>
                <w:color w:val="auto"/>
              </w:rPr>
              <w:t>1 %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3"/>
          </w:tcPr>
          <w:p>
            <w:pPr>
              <w:ind w:left="680"/>
              <w:spacing w:after="0"/>
              <w:rPr>
                <w:sz w:val="20"/>
                <w:szCs w:val="20"/>
                <w:color w:val="auto"/>
              </w:rPr>
            </w:pPr>
            <w:r>
              <w:rPr>
                <w:rFonts w:ascii="Arial" w:cs="Arial" w:eastAsia="Arial" w:hAnsi="Arial"/>
                <w:sz w:val="18"/>
                <w:szCs w:val="18"/>
                <w:i w:val="1"/>
                <w:iCs w:val="1"/>
                <w:color w:val="auto"/>
              </w:rPr>
              <w:t>— %</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i w:val="1"/>
                <w:iCs w:val="1"/>
                <w:color w:val="auto"/>
              </w:rPr>
              <w:t>1 %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ind w:left="680"/>
              <w:spacing w:after="0"/>
              <w:rPr>
                <w:sz w:val="20"/>
                <w:szCs w:val="20"/>
                <w:color w:val="auto"/>
              </w:rPr>
            </w:pPr>
            <w:r>
              <w:rPr>
                <w:rFonts w:ascii="Arial" w:cs="Arial" w:eastAsia="Arial" w:hAnsi="Arial"/>
                <w:sz w:val="18"/>
                <w:szCs w:val="18"/>
                <w:i w:val="1"/>
                <w:iCs w:val="1"/>
                <w:color w:val="auto"/>
              </w:rPr>
              <w:t>— %</w:t>
            </w:r>
          </w:p>
        </w:tc>
        <w:tc>
          <w:tcPr>
            <w:tcW w:w="1140" w:type="dxa"/>
            <w:vAlign w:val="bottom"/>
          </w:tcPr>
          <w:p>
            <w:pPr>
              <w:spacing w:after="0"/>
              <w:rPr>
                <w:sz w:val="20"/>
                <w:szCs w:val="20"/>
                <w:color w:val="auto"/>
              </w:rPr>
            </w:pPr>
          </w:p>
        </w:tc>
      </w:tr>
    </w:tbl>
    <w:p>
      <w:pPr>
        <w:spacing w:after="0" w:line="75" w:lineRule="exact"/>
        <w:rPr>
          <w:sz w:val="20"/>
          <w:szCs w:val="20"/>
          <w:color w:val="auto"/>
        </w:rPr>
      </w:pPr>
    </w:p>
    <w:p>
      <w:pPr>
        <w:spacing w:after="0"/>
        <w:rPr>
          <w:sz w:val="20"/>
          <w:szCs w:val="20"/>
          <w:color w:val="auto"/>
        </w:rPr>
      </w:pPr>
      <w:r>
        <w:rPr>
          <w:rFonts w:ascii="Arial" w:cs="Arial" w:eastAsia="Arial" w:hAnsi="Arial"/>
          <w:sz w:val="14"/>
          <w:szCs w:val="14"/>
          <w:color w:val="auto"/>
        </w:rPr>
        <w:t>*not meaningful</w:t>
      </w:r>
    </w:p>
    <w:p>
      <w:pPr>
        <w:spacing w:after="0" w:line="26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As previously disclosed, following (i) the detection of irregular activity on certain portions of our corporate network that was disclosed on December 19, 2022, and (ii) the discovery of the MOVEit Vulnerability that was disclosed on June 5, 2023, in each instance, we engaged outside cybersecurity experts and other incident response professionals to conduct a forensic investigation and assess the extent and scope of these matters. Cyber incident and MOVEit Vulnerability costs relate to the engagement of external cybersecurity experts and other incident response professionals and are net of received and expected insurance recoveries.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r>
              <w:rPr>
                <w:rFonts w:ascii="Arial" w:cs="Arial" w:eastAsia="Arial" w:hAnsi="Arial"/>
                <w:sz w:val="18"/>
                <w:szCs w:val="18"/>
                <w:i w:val="1"/>
                <w:iCs w:val="1"/>
                <w:color w:val="auto"/>
              </w:rPr>
              <w:t>Restructuring Expenses</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57"/>
        </w:trPr>
        <w:tc>
          <w:tcPr>
            <w:tcW w:w="35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gridSpan w:val="6"/>
          </w:tcPr>
          <w:p>
            <w:pPr>
              <w:ind w:left="60"/>
              <w:spacing w:after="0"/>
              <w:rPr>
                <w:sz w:val="20"/>
                <w:szCs w:val="20"/>
                <w:color w:val="auto"/>
              </w:rPr>
            </w:pPr>
            <w:r>
              <w:rPr>
                <w:rFonts w:ascii="Arial" w:cs="Arial" w:eastAsia="Arial" w:hAnsi="Arial"/>
                <w:sz w:val="18"/>
                <w:szCs w:val="18"/>
                <w:color w:val="auto"/>
                <w:w w:val="95"/>
              </w:rPr>
              <w:t>Three Months Ended</w:t>
            </w:r>
          </w:p>
        </w:tc>
        <w:tc>
          <w:tcPr>
            <w:tcW w:w="10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5"/>
          </w:tcPr>
          <w:p>
            <w:pPr>
              <w:ind w:left="100"/>
              <w:spacing w:after="0"/>
              <w:rPr>
                <w:sz w:val="20"/>
                <w:szCs w:val="20"/>
                <w:color w:val="auto"/>
              </w:rPr>
            </w:pPr>
            <w:r>
              <w:rPr>
                <w:rFonts w:ascii="Arial" w:cs="Arial" w:eastAsia="Arial" w:hAnsi="Arial"/>
                <w:sz w:val="18"/>
                <w:szCs w:val="18"/>
                <w:color w:val="auto"/>
                <w:w w:val="92"/>
              </w:rPr>
              <w:t>Nine Months Ended</w:t>
            </w:r>
          </w:p>
        </w:tc>
        <w:tc>
          <w:tcPr>
            <w:tcW w:w="1140" w:type="dxa"/>
            <w:vAlign w:val="bottom"/>
            <w:tcBorders>
              <w:bottom w:val="single" w:sz="8" w:color="auto"/>
            </w:tcBorders>
          </w:tcPr>
          <w:p>
            <w:pPr>
              <w:spacing w:after="0"/>
              <w:rPr>
                <w:sz w:val="22"/>
                <w:szCs w:val="22"/>
                <w:color w:val="auto"/>
              </w:rPr>
            </w:pPr>
          </w:p>
        </w:tc>
      </w:tr>
      <w:tr>
        <w:trPr>
          <w:trHeight w:val="169"/>
        </w:trPr>
        <w:tc>
          <w:tcPr>
            <w:tcW w:w="3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center"/>
              <w:spacing w:after="0" w:line="169" w:lineRule="exact"/>
              <w:rPr>
                <w:sz w:val="20"/>
                <w:szCs w:val="20"/>
                <w:color w:val="auto"/>
              </w:rPr>
            </w:pPr>
            <w:r>
              <w:rPr>
                <w:rFonts w:ascii="Arial" w:cs="Arial" w:eastAsia="Arial" w:hAnsi="Arial"/>
                <w:sz w:val="18"/>
                <w:szCs w:val="18"/>
                <w:color w:val="auto"/>
                <w:w w:val="92"/>
              </w:rPr>
              <w:t>August 31,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3"/>
          </w:tcPr>
          <w:p>
            <w:pPr>
              <w:jc w:val="center"/>
              <w:ind w:right="380"/>
              <w:spacing w:after="0" w:line="169" w:lineRule="exact"/>
              <w:rPr>
                <w:sz w:val="20"/>
                <w:szCs w:val="20"/>
                <w:color w:val="auto"/>
              </w:rPr>
            </w:pPr>
            <w:r>
              <w:rPr>
                <w:rFonts w:ascii="Arial" w:cs="Arial" w:eastAsia="Arial" w:hAnsi="Arial"/>
                <w:sz w:val="18"/>
                <w:szCs w:val="18"/>
                <w:color w:val="auto"/>
                <w:w w:val="90"/>
              </w:rPr>
              <w:t>August 31,</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spacing w:after="0" w:line="169" w:lineRule="exact"/>
              <w:rPr>
                <w:sz w:val="20"/>
                <w:szCs w:val="20"/>
                <w:color w:val="auto"/>
              </w:rPr>
            </w:pPr>
            <w:r>
              <w:rPr>
                <w:rFonts w:ascii="Arial" w:cs="Arial" w:eastAsia="Arial" w:hAnsi="Arial"/>
                <w:sz w:val="18"/>
                <w:szCs w:val="18"/>
                <w:color w:val="auto"/>
                <w:w w:val="95"/>
              </w:rPr>
              <w:t>August 31,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260"/>
              <w:spacing w:after="0" w:line="169" w:lineRule="exact"/>
              <w:rPr>
                <w:sz w:val="20"/>
                <w:szCs w:val="20"/>
                <w:color w:val="auto"/>
              </w:rPr>
            </w:pPr>
            <w:r>
              <w:rPr>
                <w:rFonts w:ascii="Arial" w:cs="Arial" w:eastAsia="Arial" w:hAnsi="Arial"/>
                <w:sz w:val="18"/>
                <w:szCs w:val="18"/>
                <w:color w:val="auto"/>
                <w:w w:val="92"/>
              </w:rPr>
              <w:t>August 31,</w:t>
            </w:r>
          </w:p>
        </w:tc>
        <w:tc>
          <w:tcPr>
            <w:tcW w:w="1140" w:type="dxa"/>
            <w:vAlign w:val="bottom"/>
          </w:tcPr>
          <w:p>
            <w:pPr>
              <w:spacing w:after="0"/>
              <w:rPr>
                <w:sz w:val="14"/>
                <w:szCs w:val="14"/>
                <w:color w:val="auto"/>
              </w:rPr>
            </w:pPr>
          </w:p>
        </w:tc>
      </w:tr>
      <w:tr>
        <w:trPr>
          <w:trHeight w:val="243"/>
        </w:trPr>
        <w:tc>
          <w:tcPr>
            <w:tcW w:w="35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21"/>
                <w:szCs w:val="21"/>
                <w:color w:val="auto"/>
              </w:rPr>
            </w:pPr>
          </w:p>
        </w:tc>
        <w:tc>
          <w:tcPr>
            <w:tcW w:w="900" w:type="dxa"/>
            <w:vAlign w:val="bottom"/>
          </w:tcPr>
          <w:p>
            <w:pPr>
              <w:jc w:val="right"/>
              <w:ind w:right="190"/>
              <w:spacing w:after="0"/>
              <w:rPr>
                <w:sz w:val="20"/>
                <w:szCs w:val="20"/>
                <w:color w:val="auto"/>
              </w:rPr>
            </w:pPr>
            <w:r>
              <w:rPr>
                <w:rFonts w:ascii="Arial" w:cs="Arial" w:eastAsia="Arial" w:hAnsi="Arial"/>
                <w:sz w:val="18"/>
                <w:szCs w:val="18"/>
                <w:color w:val="auto"/>
              </w:rPr>
              <w:t>2023</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33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3"/>
          </w:tcPr>
          <w:p>
            <w:pPr>
              <w:jc w:val="right"/>
              <w:ind w:right="390"/>
              <w:spacing w:after="0"/>
              <w:rPr>
                <w:sz w:val="20"/>
                <w:szCs w:val="20"/>
                <w:color w:val="auto"/>
              </w:rPr>
            </w:pPr>
            <w:r>
              <w:rPr>
                <w:rFonts w:ascii="Arial" w:cs="Arial" w:eastAsia="Arial" w:hAnsi="Arial"/>
                <w:sz w:val="18"/>
                <w:szCs w:val="18"/>
                <w:color w:val="auto"/>
                <w:w w:val="95"/>
              </w:rPr>
              <w:t>% Change</w:t>
            </w:r>
          </w:p>
        </w:tc>
        <w:tc>
          <w:tcPr>
            <w:tcW w:w="920" w:type="dxa"/>
            <w:vAlign w:val="bottom"/>
          </w:tcPr>
          <w:p>
            <w:pPr>
              <w:jc w:val="right"/>
              <w:ind w:right="210"/>
              <w:spacing w:after="0"/>
              <w:rPr>
                <w:sz w:val="20"/>
                <w:szCs w:val="20"/>
                <w:color w:val="auto"/>
              </w:rPr>
            </w:pPr>
            <w:r>
              <w:rPr>
                <w:rFonts w:ascii="Arial" w:cs="Arial" w:eastAsia="Arial" w:hAnsi="Arial"/>
                <w:sz w:val="18"/>
                <w:szCs w:val="18"/>
                <w:color w:val="auto"/>
              </w:rPr>
              <w:t>2023</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33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1"/>
                <w:szCs w:val="21"/>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 Change</w:t>
            </w:r>
          </w:p>
        </w:tc>
      </w:tr>
      <w:tr>
        <w:trPr>
          <w:trHeight w:val="223"/>
        </w:trPr>
        <w:tc>
          <w:tcPr>
            <w:tcW w:w="3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Restructuring expenses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130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6,230</w:t>
            </w:r>
          </w:p>
        </w:tc>
        <w:tc>
          <w:tcPr>
            <w:tcW w:w="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784</w:t>
            </w:r>
          </w:p>
        </w:tc>
        <w:tc>
          <w:tcPr>
            <w:tcW w:w="12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56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160" w:type="dxa"/>
            <w:vAlign w:val="bottom"/>
          </w:tcPr>
          <w:p>
            <w:pPr>
              <w:spacing w:after="0"/>
              <w:rPr>
                <w:sz w:val="20"/>
                <w:szCs w:val="20"/>
                <w:color w:val="auto"/>
              </w:rPr>
            </w:pPr>
          </w:p>
        </w:tc>
        <w:tc>
          <w:tcPr>
            <w:tcW w:w="1300" w:type="dxa"/>
            <w:vAlign w:val="bottom"/>
            <w:gridSpan w:val="4"/>
          </w:tcPr>
          <w:p>
            <w:pPr>
              <w:jc w:val="right"/>
              <w:ind w:right="190"/>
              <w:spacing w:after="0"/>
              <w:rPr>
                <w:sz w:val="20"/>
                <w:szCs w:val="20"/>
                <w:color w:val="auto"/>
              </w:rPr>
            </w:pPr>
            <w:r>
              <w:rPr>
                <w:rFonts w:ascii="Arial" w:cs="Arial" w:eastAsia="Arial" w:hAnsi="Arial"/>
                <w:sz w:val="18"/>
                <w:szCs w:val="18"/>
                <w:i w:val="1"/>
                <w:iCs w:val="1"/>
                <w:color w:val="auto"/>
              </w:rPr>
              <w:t>— %</w:t>
            </w:r>
          </w:p>
        </w:tc>
        <w:tc>
          <w:tcPr>
            <w:tcW w:w="1280" w:type="dxa"/>
            <w:vAlign w:val="bottom"/>
            <w:gridSpan w:val="3"/>
          </w:tcPr>
          <w:p>
            <w:pPr>
              <w:ind w:left="660"/>
              <w:spacing w:after="0"/>
              <w:rPr>
                <w:sz w:val="20"/>
                <w:szCs w:val="20"/>
                <w:color w:val="auto"/>
              </w:rPr>
            </w:pPr>
            <w:r>
              <w:rPr>
                <w:rFonts w:ascii="Arial" w:cs="Arial" w:eastAsia="Arial" w:hAnsi="Arial"/>
                <w:sz w:val="18"/>
                <w:szCs w:val="18"/>
                <w:i w:val="1"/>
                <w:iCs w:val="1"/>
                <w:color w:val="auto"/>
              </w:rPr>
              <w:t>— %</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i w:val="1"/>
                <w:iCs w:val="1"/>
                <w:color w:val="auto"/>
              </w:rPr>
              <w:t>1 %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ind w:left="680"/>
              <w:spacing w:after="0"/>
              <w:rPr>
                <w:sz w:val="20"/>
                <w:szCs w:val="20"/>
                <w:color w:val="auto"/>
              </w:rPr>
            </w:pPr>
            <w:r>
              <w:rPr>
                <w:rFonts w:ascii="Arial" w:cs="Arial" w:eastAsia="Arial" w:hAnsi="Arial"/>
                <w:sz w:val="18"/>
                <w:szCs w:val="18"/>
                <w:i w:val="1"/>
                <w:iCs w:val="1"/>
                <w:color w:val="auto"/>
              </w:rPr>
              <w:t>— %</w:t>
            </w:r>
          </w:p>
        </w:tc>
        <w:tc>
          <w:tcPr>
            <w:tcW w:w="1140" w:type="dxa"/>
            <w:vAlign w:val="bottom"/>
          </w:tcPr>
          <w:p>
            <w:pPr>
              <w:spacing w:after="0"/>
              <w:rPr>
                <w:sz w:val="20"/>
                <w:szCs w:val="20"/>
                <w:color w:val="auto"/>
              </w:rPr>
            </w:pPr>
          </w:p>
        </w:tc>
      </w:tr>
    </w:tbl>
    <w:p>
      <w:pPr>
        <w:spacing w:after="0" w:line="75" w:lineRule="exact"/>
        <w:rPr>
          <w:sz w:val="20"/>
          <w:szCs w:val="20"/>
          <w:color w:val="auto"/>
        </w:rPr>
      </w:pPr>
    </w:p>
    <w:p>
      <w:pPr>
        <w:spacing w:after="0"/>
        <w:rPr>
          <w:sz w:val="20"/>
          <w:szCs w:val="20"/>
          <w:color w:val="auto"/>
        </w:rPr>
      </w:pPr>
      <w:r>
        <w:rPr>
          <w:rFonts w:ascii="Arial" w:cs="Arial" w:eastAsia="Arial" w:hAnsi="Arial"/>
          <w:sz w:val="14"/>
          <w:szCs w:val="14"/>
          <w:color w:val="auto"/>
        </w:rPr>
        <w:t>*not meaningful</w:t>
      </w:r>
    </w:p>
    <w:p>
      <w:pPr>
        <w:spacing w:after="0" w:line="24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Restructuring expenses recorded in the third fiscal quarter and first nine months of fiscal year 2023 relate to the restructuring activities that occurred in the first and fourth quarters of fiscal years 2023 and 2020, respectively, resulting from the acquisitions of MarkLogic and Chef, respectively. Restructuring expenses recorded in the third quarter of fiscal year 2022 are comprised mostly of costs related to the acquisition of Kemp and the Chef restructuring action of 2020. See the Liquidity and Capital Resources section of this Item 2, Management’s Discussion and Analysis of Financial Condition and Results of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Acquisition-Related Expenses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6"/>
          </w:tcPr>
          <w:p>
            <w:pPr>
              <w:ind w:left="60"/>
              <w:spacing w:after="0"/>
              <w:rPr>
                <w:sz w:val="20"/>
                <w:szCs w:val="20"/>
                <w:color w:val="auto"/>
              </w:rPr>
            </w:pPr>
            <w:r>
              <w:rPr>
                <w:rFonts w:ascii="Arial" w:cs="Arial" w:eastAsia="Arial" w:hAnsi="Arial"/>
                <w:sz w:val="18"/>
                <w:szCs w:val="18"/>
                <w:color w:val="auto"/>
                <w:w w:val="93"/>
              </w:rPr>
              <w:t>Three Months Ended</w:t>
            </w:r>
          </w:p>
        </w:tc>
        <w:tc>
          <w:tcPr>
            <w:tcW w:w="8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5"/>
          </w:tcPr>
          <w:p>
            <w:pPr>
              <w:ind w:left="40"/>
              <w:spacing w:after="0"/>
              <w:rPr>
                <w:sz w:val="20"/>
                <w:szCs w:val="20"/>
                <w:color w:val="auto"/>
              </w:rPr>
            </w:pPr>
            <w:r>
              <w:rPr>
                <w:rFonts w:ascii="Arial" w:cs="Arial" w:eastAsia="Arial" w:hAnsi="Arial"/>
                <w:sz w:val="18"/>
                <w:szCs w:val="18"/>
                <w:color w:val="auto"/>
                <w:w w:val="97"/>
              </w:rPr>
              <w:t>Nine Months Ended</w:t>
            </w:r>
          </w:p>
        </w:tc>
        <w:tc>
          <w:tcPr>
            <w:tcW w:w="1120" w:type="dxa"/>
            <w:vAlign w:val="bottom"/>
            <w:tcBorders>
              <w:bottom w:val="single" w:sz="8" w:color="auto"/>
            </w:tcBorders>
          </w:tcPr>
          <w:p>
            <w:pPr>
              <w:spacing w:after="0"/>
              <w:rPr>
                <w:sz w:val="20"/>
                <w:szCs w:val="20"/>
                <w:color w:val="auto"/>
              </w:rPr>
            </w:pPr>
          </w:p>
        </w:tc>
      </w:tr>
      <w:tr>
        <w:trPr>
          <w:trHeight w:val="169"/>
        </w:trPr>
        <w:tc>
          <w:tcPr>
            <w:tcW w:w="3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spacing w:after="0" w:line="169" w:lineRule="exact"/>
              <w:rPr>
                <w:sz w:val="20"/>
                <w:szCs w:val="20"/>
                <w:color w:val="auto"/>
              </w:rPr>
            </w:pPr>
            <w:r>
              <w:rPr>
                <w:rFonts w:ascii="Arial" w:cs="Arial" w:eastAsia="Arial" w:hAnsi="Arial"/>
                <w:sz w:val="18"/>
                <w:szCs w:val="18"/>
                <w:color w:val="auto"/>
                <w:w w:val="90"/>
              </w:rPr>
              <w:t>August 31,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3"/>
          </w:tcPr>
          <w:p>
            <w:pPr>
              <w:jc w:val="center"/>
              <w:ind w:right="360"/>
              <w:spacing w:after="0" w:line="169" w:lineRule="exact"/>
              <w:rPr>
                <w:sz w:val="20"/>
                <w:szCs w:val="20"/>
                <w:color w:val="auto"/>
              </w:rPr>
            </w:pPr>
            <w:r>
              <w:rPr>
                <w:rFonts w:ascii="Arial" w:cs="Arial" w:eastAsia="Arial" w:hAnsi="Arial"/>
                <w:sz w:val="18"/>
                <w:szCs w:val="18"/>
                <w:color w:val="auto"/>
                <w:w w:val="90"/>
              </w:rPr>
              <w:t>August 31,</w:t>
            </w: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ind w:right="110"/>
              <w:spacing w:after="0" w:line="169" w:lineRule="exact"/>
              <w:rPr>
                <w:sz w:val="20"/>
                <w:szCs w:val="20"/>
                <w:color w:val="auto"/>
              </w:rPr>
            </w:pPr>
            <w:r>
              <w:rPr>
                <w:rFonts w:ascii="Arial" w:cs="Arial" w:eastAsia="Arial" w:hAnsi="Arial"/>
                <w:sz w:val="18"/>
                <w:szCs w:val="18"/>
                <w:color w:val="auto"/>
                <w:w w:val="95"/>
              </w:rPr>
              <w:t>August 31,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3"/>
          </w:tcPr>
          <w:p>
            <w:pPr>
              <w:ind w:left="40"/>
              <w:spacing w:after="0" w:line="169" w:lineRule="exact"/>
              <w:rPr>
                <w:sz w:val="20"/>
                <w:szCs w:val="20"/>
                <w:color w:val="auto"/>
              </w:rPr>
            </w:pPr>
            <w:r>
              <w:rPr>
                <w:rFonts w:ascii="Arial" w:cs="Arial" w:eastAsia="Arial" w:hAnsi="Arial"/>
                <w:sz w:val="18"/>
                <w:szCs w:val="18"/>
                <w:color w:val="auto"/>
              </w:rPr>
              <w:t>August 31,</w:t>
            </w:r>
          </w:p>
        </w:tc>
        <w:tc>
          <w:tcPr>
            <w:tcW w:w="1120" w:type="dxa"/>
            <w:vAlign w:val="bottom"/>
          </w:tcPr>
          <w:p>
            <w:pPr>
              <w:spacing w:after="0"/>
              <w:rPr>
                <w:sz w:val="14"/>
                <w:szCs w:val="14"/>
                <w:color w:val="auto"/>
              </w:rPr>
            </w:pPr>
          </w:p>
        </w:tc>
      </w:tr>
      <w:tr>
        <w:trPr>
          <w:trHeight w:val="243"/>
        </w:trPr>
        <w:tc>
          <w:tcPr>
            <w:tcW w:w="34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2023</w:t>
            </w:r>
          </w:p>
        </w:tc>
        <w:tc>
          <w:tcPr>
            <w:tcW w:w="1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2"/>
              </w:rPr>
              <w:t>% Change</w:t>
            </w:r>
          </w:p>
        </w:tc>
        <w:tc>
          <w:tcPr>
            <w:tcW w:w="1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 Change</w:t>
            </w:r>
          </w:p>
        </w:tc>
      </w:tr>
      <w:tr>
        <w:trPr>
          <w:trHeight w:val="223"/>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Acquisition-related expenses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4,433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3,816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r>
      <w:tr>
        <w:trPr>
          <w:trHeight w:val="230"/>
        </w:trPr>
        <w:tc>
          <w:tcPr>
            <w:tcW w:w="348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160" w:type="dxa"/>
            <w:vAlign w:val="bottom"/>
          </w:tcPr>
          <w:p>
            <w:pPr>
              <w:spacing w:after="0"/>
              <w:rPr>
                <w:sz w:val="20"/>
                <w:szCs w:val="20"/>
                <w:color w:val="auto"/>
              </w:rPr>
            </w:pPr>
          </w:p>
        </w:tc>
        <w:tc>
          <w:tcPr>
            <w:tcW w:w="1280" w:type="dxa"/>
            <w:vAlign w:val="bottom"/>
            <w:gridSpan w:val="4"/>
          </w:tcPr>
          <w:p>
            <w:pPr>
              <w:jc w:val="right"/>
              <w:ind w:right="190"/>
              <w:spacing w:after="0"/>
              <w:rPr>
                <w:sz w:val="20"/>
                <w:szCs w:val="20"/>
                <w:color w:val="auto"/>
              </w:rPr>
            </w:pPr>
            <w:r>
              <w:rPr>
                <w:rFonts w:ascii="Arial" w:cs="Arial" w:eastAsia="Arial" w:hAnsi="Arial"/>
                <w:sz w:val="18"/>
                <w:szCs w:val="18"/>
                <w:i w:val="1"/>
                <w:iCs w:val="1"/>
                <w:color w:val="auto"/>
              </w:rPr>
              <w:t>— %</w:t>
            </w:r>
          </w:p>
        </w:tc>
        <w:tc>
          <w:tcPr>
            <w:tcW w:w="1260" w:type="dxa"/>
            <w:vAlign w:val="bottom"/>
            <w:gridSpan w:val="3"/>
          </w:tcPr>
          <w:p>
            <w:pPr>
              <w:ind w:left="660"/>
              <w:spacing w:after="0"/>
              <w:rPr>
                <w:sz w:val="20"/>
                <w:szCs w:val="20"/>
                <w:color w:val="auto"/>
              </w:rPr>
            </w:pPr>
            <w:r>
              <w:rPr>
                <w:rFonts w:ascii="Arial" w:cs="Arial" w:eastAsia="Arial" w:hAnsi="Arial"/>
                <w:sz w:val="18"/>
                <w:szCs w:val="18"/>
                <w:i w:val="1"/>
                <w:iCs w:val="1"/>
                <w:color w:val="auto"/>
              </w:rPr>
              <w:t>— %</w:t>
            </w: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i w:val="1"/>
                <w:iCs w:val="1"/>
                <w:color w:val="auto"/>
              </w:rPr>
              <w:t>1 %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i w:val="1"/>
                <w:iCs w:val="1"/>
                <w:color w:val="auto"/>
              </w:rPr>
              <w:t>1 %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r>
    </w:tbl>
    <w:p>
      <w:pPr>
        <w:spacing w:after="0" w:line="75" w:lineRule="exact"/>
        <w:rPr>
          <w:sz w:val="20"/>
          <w:szCs w:val="20"/>
          <w:color w:val="auto"/>
        </w:rPr>
      </w:pPr>
    </w:p>
    <w:p>
      <w:pPr>
        <w:spacing w:after="0"/>
        <w:rPr>
          <w:sz w:val="20"/>
          <w:szCs w:val="20"/>
          <w:color w:val="auto"/>
        </w:rPr>
      </w:pPr>
      <w:r>
        <w:rPr>
          <w:rFonts w:ascii="Arial" w:cs="Arial" w:eastAsia="Arial" w:hAnsi="Arial"/>
          <w:sz w:val="14"/>
          <w:szCs w:val="14"/>
          <w:color w:val="auto"/>
        </w:rPr>
        <w:t>*not meaningful</w:t>
      </w:r>
    </w:p>
    <w:p>
      <w:pPr>
        <w:spacing w:after="0" w:line="26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Acquisition-related costs are expensed as incurred and include those costs incurred as a result of a business combination. These costs consist of professional service fees, including third-party legal and valuation-related fees. Acquisition-related expenses increased due to our acquisition of MarkLogic. Acquisition-related expenses in the same periods of fiscal year 2022 were primarily related to our pursuit of other acquisition opportunities, as well as the acquisition of Kemp.</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80" w:type="dxa"/>
            <w:vAlign w:val="bottom"/>
          </w:tcPr>
          <w:p>
            <w:pPr>
              <w:spacing w:after="0"/>
              <w:rPr>
                <w:sz w:val="20"/>
                <w:szCs w:val="20"/>
                <w:color w:val="auto"/>
              </w:rPr>
            </w:pPr>
            <w:r>
              <w:rPr>
                <w:rFonts w:ascii="Arial" w:cs="Arial" w:eastAsia="Arial" w:hAnsi="Arial"/>
                <w:sz w:val="18"/>
                <w:szCs w:val="18"/>
                <w:i w:val="1"/>
                <w:iCs w:val="1"/>
                <w:color w:val="auto"/>
              </w:rPr>
              <w:t>Gain on Sale of Assets Held for Sale</w:t>
            </w: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99"/>
        </w:trPr>
        <w:tc>
          <w:tcPr>
            <w:tcW w:w="33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5"/>
          </w:tcPr>
          <w:p>
            <w:pPr>
              <w:ind w:left="60"/>
              <w:spacing w:after="0"/>
              <w:rPr>
                <w:sz w:val="20"/>
                <w:szCs w:val="20"/>
                <w:color w:val="auto"/>
              </w:rPr>
            </w:pPr>
            <w:r>
              <w:rPr>
                <w:rFonts w:ascii="Arial" w:cs="Arial" w:eastAsia="Arial" w:hAnsi="Arial"/>
                <w:sz w:val="18"/>
                <w:szCs w:val="18"/>
                <w:color w:val="auto"/>
                <w:w w:val="90"/>
              </w:rPr>
              <w:t>Three Months Ended</w:t>
            </w:r>
          </w:p>
        </w:tc>
        <w:tc>
          <w:tcPr>
            <w:tcW w:w="11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color w:val="auto"/>
                <w:w w:val="97"/>
              </w:rPr>
              <w:t>Nine Months Ended</w:t>
            </w:r>
          </w:p>
        </w:tc>
        <w:tc>
          <w:tcPr>
            <w:tcW w:w="1140" w:type="dxa"/>
            <w:vAlign w:val="bottom"/>
            <w:tcBorders>
              <w:bottom w:val="single" w:sz="8" w:color="auto"/>
            </w:tcBorders>
          </w:tcPr>
          <w:p>
            <w:pPr>
              <w:spacing w:after="0"/>
              <w:rPr>
                <w:sz w:val="24"/>
                <w:szCs w:val="24"/>
                <w:color w:val="auto"/>
              </w:rPr>
            </w:pPr>
          </w:p>
        </w:tc>
      </w:tr>
      <w:tr>
        <w:trPr>
          <w:trHeight w:val="169"/>
        </w:trPr>
        <w:tc>
          <w:tcPr>
            <w:tcW w:w="3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spacing w:after="0" w:line="169" w:lineRule="exact"/>
              <w:rPr>
                <w:sz w:val="20"/>
                <w:szCs w:val="20"/>
                <w:color w:val="auto"/>
              </w:rPr>
            </w:pPr>
            <w:r>
              <w:rPr>
                <w:rFonts w:ascii="Arial" w:cs="Arial" w:eastAsia="Arial" w:hAnsi="Arial"/>
                <w:sz w:val="18"/>
                <w:szCs w:val="18"/>
                <w:color w:val="auto"/>
                <w:w w:val="97"/>
              </w:rPr>
              <w:t>August 31,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ind w:right="340"/>
              <w:spacing w:after="0" w:line="169" w:lineRule="exact"/>
              <w:rPr>
                <w:sz w:val="20"/>
                <w:szCs w:val="20"/>
                <w:color w:val="auto"/>
              </w:rPr>
            </w:pPr>
            <w:r>
              <w:rPr>
                <w:rFonts w:ascii="Arial" w:cs="Arial" w:eastAsia="Arial" w:hAnsi="Arial"/>
                <w:sz w:val="18"/>
                <w:szCs w:val="18"/>
                <w:color w:val="auto"/>
                <w:w w:val="95"/>
              </w:rPr>
              <w:t>August 31,</w:t>
            </w: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ind w:right="130"/>
              <w:spacing w:after="0" w:line="169" w:lineRule="exact"/>
              <w:rPr>
                <w:sz w:val="20"/>
                <w:szCs w:val="20"/>
                <w:color w:val="auto"/>
              </w:rPr>
            </w:pPr>
            <w:r>
              <w:rPr>
                <w:rFonts w:ascii="Arial" w:cs="Arial" w:eastAsia="Arial" w:hAnsi="Arial"/>
                <w:sz w:val="18"/>
                <w:szCs w:val="18"/>
                <w:color w:val="auto"/>
                <w:w w:val="95"/>
              </w:rPr>
              <w:t>August 31,</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43"/>
        </w:trPr>
        <w:tc>
          <w:tcPr>
            <w:tcW w:w="33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21"/>
                <w:szCs w:val="21"/>
                <w:color w:val="auto"/>
              </w:rPr>
            </w:pPr>
          </w:p>
        </w:tc>
        <w:tc>
          <w:tcPr>
            <w:tcW w:w="920" w:type="dxa"/>
            <w:vAlign w:val="bottom"/>
          </w:tcPr>
          <w:p>
            <w:pPr>
              <w:jc w:val="right"/>
              <w:ind w:right="190"/>
              <w:spacing w:after="0"/>
              <w:rPr>
                <w:sz w:val="20"/>
                <w:szCs w:val="20"/>
                <w:color w:val="auto"/>
              </w:rPr>
            </w:pPr>
            <w:r>
              <w:rPr>
                <w:rFonts w:ascii="Arial" w:cs="Arial" w:eastAsia="Arial" w:hAnsi="Arial"/>
                <w:sz w:val="18"/>
                <w:szCs w:val="18"/>
                <w:color w:val="auto"/>
              </w:rPr>
              <w:t>2023</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33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1"/>
                <w:szCs w:val="21"/>
                <w:color w:val="auto"/>
              </w:rPr>
            </w:pPr>
          </w:p>
        </w:tc>
        <w:tc>
          <w:tcPr>
            <w:tcW w:w="1400" w:type="dxa"/>
            <w:vAlign w:val="bottom"/>
            <w:gridSpan w:val="3"/>
          </w:tcPr>
          <w:p>
            <w:pPr>
              <w:jc w:val="right"/>
              <w:ind w:right="370"/>
              <w:spacing w:after="0"/>
              <w:rPr>
                <w:sz w:val="20"/>
                <w:szCs w:val="20"/>
                <w:color w:val="auto"/>
              </w:rPr>
            </w:pPr>
            <w:r>
              <w:rPr>
                <w:rFonts w:ascii="Arial" w:cs="Arial" w:eastAsia="Arial" w:hAnsi="Arial"/>
                <w:sz w:val="18"/>
                <w:szCs w:val="18"/>
                <w:color w:val="auto"/>
              </w:rPr>
              <w:t>% Change</w:t>
            </w:r>
          </w:p>
        </w:tc>
        <w:tc>
          <w:tcPr>
            <w:tcW w:w="1060" w:type="dxa"/>
            <w:vAlign w:val="bottom"/>
          </w:tcPr>
          <w:p>
            <w:pPr>
              <w:jc w:val="right"/>
              <w:ind w:right="33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21"/>
                <w:szCs w:val="21"/>
                <w:color w:val="auto"/>
              </w:rPr>
            </w:pPr>
          </w:p>
        </w:tc>
        <w:tc>
          <w:tcPr>
            <w:tcW w:w="1460" w:type="dxa"/>
            <w:vAlign w:val="bottom"/>
            <w:gridSpan w:val="3"/>
          </w:tcPr>
          <w:p>
            <w:pPr>
              <w:ind w:left="80"/>
              <w:spacing w:after="0"/>
              <w:rPr>
                <w:sz w:val="20"/>
                <w:szCs w:val="20"/>
                <w:color w:val="auto"/>
              </w:rPr>
            </w:pPr>
            <w:r>
              <w:rPr>
                <w:rFonts w:ascii="Arial" w:cs="Arial" w:eastAsia="Arial" w:hAnsi="Arial"/>
                <w:sz w:val="18"/>
                <w:szCs w:val="18"/>
                <w:color w:val="auto"/>
              </w:rPr>
              <w:t>August 31, 2022</w:t>
            </w: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 Change</w:t>
            </w:r>
          </w:p>
        </w:tc>
      </w:tr>
      <w:tr>
        <w:trPr>
          <w:trHeight w:val="223"/>
        </w:trPr>
        <w:tc>
          <w:tcPr>
            <w:tcW w:w="3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Gain on sale of assets held for sale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(10,770)</w:t>
            </w:r>
          </w:p>
        </w:tc>
        <w:tc>
          <w:tcPr>
            <w:tcW w:w="12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38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160" w:type="dxa"/>
            <w:vAlign w:val="bottom"/>
          </w:tcPr>
          <w:p>
            <w:pPr>
              <w:spacing w:after="0"/>
              <w:rPr>
                <w:sz w:val="20"/>
                <w:szCs w:val="20"/>
                <w:color w:val="auto"/>
              </w:rPr>
            </w:pPr>
          </w:p>
        </w:tc>
        <w:tc>
          <w:tcPr>
            <w:tcW w:w="1340" w:type="dxa"/>
            <w:vAlign w:val="bottom"/>
            <w:gridSpan w:val="4"/>
          </w:tcPr>
          <w:p>
            <w:pPr>
              <w:jc w:val="right"/>
              <w:ind w:right="190"/>
              <w:spacing w:after="0"/>
              <w:rPr>
                <w:sz w:val="20"/>
                <w:szCs w:val="20"/>
                <w:color w:val="auto"/>
              </w:rPr>
            </w:pPr>
            <w:r>
              <w:rPr>
                <w:rFonts w:ascii="Arial" w:cs="Arial" w:eastAsia="Arial" w:hAnsi="Arial"/>
                <w:sz w:val="18"/>
                <w:szCs w:val="18"/>
                <w:i w:val="1"/>
                <w:iCs w:val="1"/>
                <w:color w:val="auto"/>
              </w:rPr>
              <w:t>— %</w:t>
            </w:r>
          </w:p>
        </w:tc>
        <w:tc>
          <w:tcPr>
            <w:tcW w:w="1180" w:type="dxa"/>
            <w:vAlign w:val="bottom"/>
            <w:gridSpan w:val="2"/>
          </w:tcPr>
          <w:p>
            <w:pPr>
              <w:ind w:left="680"/>
              <w:spacing w:after="0"/>
              <w:rPr>
                <w:sz w:val="20"/>
                <w:szCs w:val="20"/>
                <w:color w:val="auto"/>
              </w:rPr>
            </w:pPr>
            <w:r>
              <w:rPr>
                <w:rFonts w:ascii="Arial" w:cs="Arial" w:eastAsia="Arial" w:hAnsi="Arial"/>
                <w:sz w:val="18"/>
                <w:szCs w:val="18"/>
                <w:i w:val="1"/>
                <w:iCs w:val="1"/>
                <w:color w:val="auto"/>
              </w:rPr>
              <w:t>— %</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 %</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i w:val="1"/>
                <w:iCs w:val="1"/>
                <w:color w:val="auto"/>
              </w:rPr>
              <w:t>2 %</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r>
    </w:tbl>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*not meaningful</w:t>
      </w:r>
    </w:p>
    <w:p>
      <w:pPr>
        <w:spacing w:after="0" w:line="26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 the second quarter of fiscal year 2022, we sold corporate land and building assets previously reported as assets held for sale on our consolidated balance sheet. As the sale price less cost to sell was greater than the carrying value of these assets we recognized a net gain on the sale of approximately $10.8 million in the second quarter of fiscal year 2022.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Operations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6"/>
          </w:tcPr>
          <w:p>
            <w:pPr>
              <w:ind w:left="100"/>
              <w:spacing w:after="0"/>
              <w:rPr>
                <w:sz w:val="20"/>
                <w:szCs w:val="20"/>
                <w:color w:val="auto"/>
              </w:rPr>
            </w:pPr>
            <w:r>
              <w:rPr>
                <w:rFonts w:ascii="Arial" w:cs="Arial" w:eastAsia="Arial" w:hAnsi="Arial"/>
                <w:sz w:val="18"/>
                <w:szCs w:val="18"/>
                <w:color w:val="auto"/>
                <w:w w:val="93"/>
              </w:rPr>
              <w:t>Three Months Ended</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5"/>
          </w:tcPr>
          <w:p>
            <w:pPr>
              <w:ind w:left="40"/>
              <w:spacing w:after="0"/>
              <w:rPr>
                <w:sz w:val="20"/>
                <w:szCs w:val="20"/>
                <w:color w:val="auto"/>
              </w:rPr>
            </w:pPr>
            <w:r>
              <w:rPr>
                <w:rFonts w:ascii="Arial" w:cs="Arial" w:eastAsia="Arial" w:hAnsi="Arial"/>
                <w:sz w:val="18"/>
                <w:szCs w:val="18"/>
                <w:color w:val="auto"/>
                <w:w w:val="97"/>
              </w:rPr>
              <w:t>Nine Months Ended</w:t>
            </w:r>
          </w:p>
        </w:tc>
        <w:tc>
          <w:tcPr>
            <w:tcW w:w="1120" w:type="dxa"/>
            <w:vAlign w:val="bottom"/>
            <w:tcBorders>
              <w:bottom w:val="single" w:sz="8" w:color="auto"/>
            </w:tcBorders>
          </w:tcPr>
          <w:p>
            <w:pPr>
              <w:spacing w:after="0"/>
              <w:rPr>
                <w:sz w:val="20"/>
                <w:szCs w:val="20"/>
                <w:color w:val="auto"/>
              </w:rPr>
            </w:pPr>
          </w:p>
        </w:tc>
      </w:tr>
      <w:tr>
        <w:trPr>
          <w:trHeight w:val="169"/>
        </w:trPr>
        <w:tc>
          <w:tcPr>
            <w:tcW w:w="3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spacing w:after="0" w:line="169" w:lineRule="exact"/>
              <w:rPr>
                <w:sz w:val="20"/>
                <w:szCs w:val="20"/>
                <w:color w:val="auto"/>
              </w:rPr>
            </w:pPr>
            <w:r>
              <w:rPr>
                <w:rFonts w:ascii="Arial" w:cs="Arial" w:eastAsia="Arial" w:hAnsi="Arial"/>
                <w:sz w:val="18"/>
                <w:szCs w:val="18"/>
                <w:color w:val="auto"/>
                <w:w w:val="95"/>
              </w:rPr>
              <w:t>August 31,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3"/>
          </w:tcPr>
          <w:p>
            <w:pPr>
              <w:ind w:left="60"/>
              <w:spacing w:after="0" w:line="169" w:lineRule="exact"/>
              <w:rPr>
                <w:sz w:val="20"/>
                <w:szCs w:val="20"/>
                <w:color w:val="auto"/>
              </w:rPr>
            </w:pPr>
            <w:r>
              <w:rPr>
                <w:rFonts w:ascii="Arial" w:cs="Arial" w:eastAsia="Arial" w:hAnsi="Arial"/>
                <w:sz w:val="18"/>
                <w:szCs w:val="18"/>
                <w:color w:val="auto"/>
              </w:rPr>
              <w:t>August 31,</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ind w:right="110"/>
              <w:spacing w:after="0" w:line="169" w:lineRule="exact"/>
              <w:rPr>
                <w:sz w:val="20"/>
                <w:szCs w:val="20"/>
                <w:color w:val="auto"/>
              </w:rPr>
            </w:pPr>
            <w:r>
              <w:rPr>
                <w:rFonts w:ascii="Arial" w:cs="Arial" w:eastAsia="Arial" w:hAnsi="Arial"/>
                <w:sz w:val="18"/>
                <w:szCs w:val="18"/>
                <w:color w:val="auto"/>
                <w:w w:val="95"/>
              </w:rPr>
              <w:t>August 31,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3"/>
          </w:tcPr>
          <w:p>
            <w:pPr>
              <w:ind w:left="60"/>
              <w:spacing w:after="0" w:line="169" w:lineRule="exact"/>
              <w:rPr>
                <w:sz w:val="20"/>
                <w:szCs w:val="20"/>
                <w:color w:val="auto"/>
              </w:rPr>
            </w:pPr>
            <w:r>
              <w:rPr>
                <w:rFonts w:ascii="Arial" w:cs="Arial" w:eastAsia="Arial" w:hAnsi="Arial"/>
                <w:sz w:val="18"/>
                <w:szCs w:val="18"/>
                <w:color w:val="auto"/>
              </w:rPr>
              <w:t>August 31,</w:t>
            </w:r>
          </w:p>
        </w:tc>
        <w:tc>
          <w:tcPr>
            <w:tcW w:w="1120" w:type="dxa"/>
            <w:vAlign w:val="bottom"/>
          </w:tcPr>
          <w:p>
            <w:pPr>
              <w:spacing w:after="0"/>
              <w:rPr>
                <w:sz w:val="14"/>
                <w:szCs w:val="14"/>
                <w:color w:val="auto"/>
              </w:rPr>
            </w:pPr>
          </w:p>
        </w:tc>
      </w:tr>
      <w:tr>
        <w:trPr>
          <w:trHeight w:val="243"/>
        </w:trPr>
        <w:tc>
          <w:tcPr>
            <w:tcW w:w="33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21"/>
                <w:szCs w:val="21"/>
                <w:color w:val="auto"/>
              </w:rPr>
            </w:pPr>
          </w:p>
        </w:tc>
        <w:tc>
          <w:tcPr>
            <w:tcW w:w="920" w:type="dxa"/>
            <w:vAlign w:val="bottom"/>
          </w:tcPr>
          <w:p>
            <w:pPr>
              <w:jc w:val="right"/>
              <w:ind w:right="21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33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gridSpan w:val="3"/>
          </w:tcPr>
          <w:p>
            <w:pPr>
              <w:jc w:val="right"/>
              <w:ind w:right="430"/>
              <w:spacing w:after="0"/>
              <w:rPr>
                <w:sz w:val="20"/>
                <w:szCs w:val="20"/>
                <w:color w:val="auto"/>
              </w:rPr>
            </w:pPr>
            <w:r>
              <w:rPr>
                <w:rFonts w:ascii="Arial" w:cs="Arial" w:eastAsia="Arial" w:hAnsi="Arial"/>
                <w:sz w:val="18"/>
                <w:szCs w:val="18"/>
                <w:color w:val="auto"/>
                <w:w w:val="97"/>
              </w:rPr>
              <w:t>% Change</w:t>
            </w:r>
          </w:p>
        </w:tc>
        <w:tc>
          <w:tcPr>
            <w:tcW w:w="1040" w:type="dxa"/>
            <w:vAlign w:val="bottom"/>
          </w:tcPr>
          <w:p>
            <w:pPr>
              <w:jc w:val="right"/>
              <w:ind w:right="33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color w:val="auto"/>
                <w:w w:val="99"/>
              </w:rPr>
              <w:t>% Change</w:t>
            </w:r>
          </w:p>
        </w:tc>
      </w:tr>
      <w:tr>
        <w:trPr>
          <w:trHeight w:val="223"/>
        </w:trPr>
        <w:tc>
          <w:tcPr>
            <w:tcW w:w="3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29,371</w:t>
            </w:r>
          </w:p>
        </w:tc>
        <w:tc>
          <w:tcPr>
            <w:tcW w:w="1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32,021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87,986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101,688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334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16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i w:val="1"/>
                <w:iCs w:val="1"/>
                <w:color w:val="auto"/>
              </w:rPr>
              <w:t>17 %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21 %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i w:val="1"/>
                <w:iCs w:val="1"/>
                <w:color w:val="auto"/>
              </w:rPr>
              <w:t>17 %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23 %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r>
    </w:tbl>
    <w:p>
      <w:pPr>
        <w:spacing w:after="0" w:line="200" w:lineRule="exact"/>
        <w:rPr>
          <w:sz w:val="20"/>
          <w:szCs w:val="20"/>
          <w:color w:val="auto"/>
        </w:rPr>
      </w:pPr>
    </w:p>
    <w:p>
      <w:pPr>
        <w:spacing w:after="0" w:line="203"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Income from operations decreased in the third quarter and first nine months of fiscal year 2023 due to an increase in costs of revenue and operating expenses, offset by increased revenue, as shown above.</w:t>
      </w:r>
    </w:p>
    <w:p>
      <w:pPr>
        <w:sectPr>
          <w:pgSz w:w="11900" w:h="16838" w:orient="portrait"/>
          <w:cols w:equalWidth="0" w:num="1">
            <w:col w:w="11240"/>
          </w:cols>
          <w:pgMar w:left="320" w:top="113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type w:val="continuous"/>
        </w:sectPr>
      </w:pPr>
    </w:p>
    <w:bookmarkStart w:id="28" w:name="page29"/>
    <w:bookmarkEnd w:id="28"/>
    <w:tbl>
      <w:tblPr>
        <w:tblLayout w:type="fixed"/>
        <w:tblInd w:w="0" w:type="dxa"/>
        <w:tblCellMar>
          <w:top w:w="0" w:type="dxa"/>
          <w:left w:w="0" w:type="dxa"/>
          <w:bottom w:w="0" w:type="dxa"/>
          <w:right w:w="0" w:type="dxa"/>
        </w:tblCellMar>
      </w:tblPr>
      <w:tr>
        <w:trPr>
          <w:trHeight w:val="230"/>
        </w:trPr>
        <w:tc>
          <w:tcPr>
            <w:tcW w:w="3320" w:type="dxa"/>
            <w:vAlign w:val="bottom"/>
          </w:tcPr>
          <w:p>
            <w:pPr>
              <w:spacing w:after="0"/>
              <w:rPr>
                <w:sz w:val="20"/>
                <w:szCs w:val="20"/>
                <w:color w:val="auto"/>
              </w:rPr>
            </w:pPr>
            <w:r>
              <w:rPr>
                <w:rFonts w:ascii="Arial" w:cs="Arial" w:eastAsia="Arial" w:hAnsi="Arial"/>
                <w:sz w:val="18"/>
                <w:szCs w:val="18"/>
                <w:i w:val="1"/>
                <w:iCs w:val="1"/>
                <w:color w:val="auto"/>
              </w:rPr>
              <w:t>Other (Expense) Income, Net</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567"/>
        </w:trPr>
        <w:tc>
          <w:tcPr>
            <w:tcW w:w="33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6"/>
          </w:tcPr>
          <w:p>
            <w:pPr>
              <w:ind w:left="60"/>
              <w:spacing w:after="0"/>
              <w:rPr>
                <w:sz w:val="20"/>
                <w:szCs w:val="20"/>
                <w:color w:val="auto"/>
              </w:rPr>
            </w:pPr>
            <w:r>
              <w:rPr>
                <w:rFonts w:ascii="Arial" w:cs="Arial" w:eastAsia="Arial" w:hAnsi="Arial"/>
                <w:sz w:val="18"/>
                <w:szCs w:val="18"/>
                <w:color w:val="auto"/>
                <w:w w:val="95"/>
              </w:rPr>
              <w:t>Three Months Ended</w:t>
            </w:r>
          </w:p>
        </w:tc>
        <w:tc>
          <w:tcPr>
            <w:tcW w:w="10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5"/>
          </w:tcPr>
          <w:p>
            <w:pPr>
              <w:ind w:left="40"/>
              <w:spacing w:after="0"/>
              <w:rPr>
                <w:sz w:val="20"/>
                <w:szCs w:val="20"/>
                <w:color w:val="auto"/>
              </w:rPr>
            </w:pPr>
            <w:r>
              <w:rPr>
                <w:rFonts w:ascii="Arial" w:cs="Arial" w:eastAsia="Arial" w:hAnsi="Arial"/>
                <w:sz w:val="18"/>
                <w:szCs w:val="18"/>
                <w:color w:val="auto"/>
                <w:w w:val="97"/>
              </w:rPr>
              <w:t>Nine Months Ended</w:t>
            </w:r>
          </w:p>
        </w:tc>
        <w:tc>
          <w:tcPr>
            <w:tcW w:w="1120" w:type="dxa"/>
            <w:vAlign w:val="bottom"/>
            <w:tcBorders>
              <w:bottom w:val="single" w:sz="8" w:color="auto"/>
            </w:tcBorders>
          </w:tcPr>
          <w:p>
            <w:pPr>
              <w:spacing w:after="0"/>
              <w:rPr>
                <w:sz w:val="24"/>
                <w:szCs w:val="24"/>
                <w:color w:val="auto"/>
              </w:rPr>
            </w:pPr>
          </w:p>
        </w:tc>
      </w:tr>
      <w:tr>
        <w:trPr>
          <w:trHeight w:val="169"/>
        </w:trPr>
        <w:tc>
          <w:tcPr>
            <w:tcW w:w="3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ind w:right="30"/>
              <w:spacing w:after="0" w:line="169" w:lineRule="exact"/>
              <w:rPr>
                <w:sz w:val="20"/>
                <w:szCs w:val="20"/>
                <w:color w:val="auto"/>
              </w:rPr>
            </w:pPr>
            <w:r>
              <w:rPr>
                <w:rFonts w:ascii="Arial" w:cs="Arial" w:eastAsia="Arial" w:hAnsi="Arial"/>
                <w:sz w:val="18"/>
                <w:szCs w:val="18"/>
                <w:color w:val="auto"/>
                <w:w w:val="95"/>
              </w:rPr>
              <w:t>August 31,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3"/>
          </w:tcPr>
          <w:p>
            <w:pPr>
              <w:ind w:left="40"/>
              <w:spacing w:after="0" w:line="169" w:lineRule="exact"/>
              <w:rPr>
                <w:sz w:val="20"/>
                <w:szCs w:val="20"/>
                <w:color w:val="auto"/>
              </w:rPr>
            </w:pPr>
            <w:r>
              <w:rPr>
                <w:rFonts w:ascii="Arial" w:cs="Arial" w:eastAsia="Arial" w:hAnsi="Arial"/>
                <w:sz w:val="18"/>
                <w:szCs w:val="18"/>
                <w:color w:val="auto"/>
              </w:rPr>
              <w:t>August 31,</w:t>
            </w: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ind w:right="110"/>
              <w:spacing w:after="0" w:line="169" w:lineRule="exact"/>
              <w:rPr>
                <w:sz w:val="20"/>
                <w:szCs w:val="20"/>
                <w:color w:val="auto"/>
              </w:rPr>
            </w:pPr>
            <w:r>
              <w:rPr>
                <w:rFonts w:ascii="Arial" w:cs="Arial" w:eastAsia="Arial" w:hAnsi="Arial"/>
                <w:sz w:val="18"/>
                <w:szCs w:val="18"/>
                <w:color w:val="auto"/>
                <w:w w:val="95"/>
              </w:rPr>
              <w:t>August 31,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3"/>
          </w:tcPr>
          <w:p>
            <w:pPr>
              <w:jc w:val="right"/>
              <w:ind w:right="480"/>
              <w:spacing w:after="0" w:line="169" w:lineRule="exact"/>
              <w:rPr>
                <w:sz w:val="20"/>
                <w:szCs w:val="20"/>
                <w:color w:val="auto"/>
              </w:rPr>
            </w:pPr>
            <w:r>
              <w:rPr>
                <w:rFonts w:ascii="Arial" w:cs="Arial" w:eastAsia="Arial" w:hAnsi="Arial"/>
                <w:sz w:val="18"/>
                <w:szCs w:val="18"/>
                <w:color w:val="auto"/>
                <w:w w:val="95"/>
              </w:rPr>
              <w:t>August 31,</w:t>
            </w:r>
          </w:p>
        </w:tc>
        <w:tc>
          <w:tcPr>
            <w:tcW w:w="1120" w:type="dxa"/>
            <w:vAlign w:val="bottom"/>
          </w:tcPr>
          <w:p>
            <w:pPr>
              <w:spacing w:after="0"/>
              <w:rPr>
                <w:sz w:val="14"/>
                <w:szCs w:val="14"/>
                <w:color w:val="auto"/>
              </w:rPr>
            </w:pPr>
          </w:p>
        </w:tc>
      </w:tr>
      <w:tr>
        <w:trPr>
          <w:trHeight w:val="243"/>
        </w:trPr>
        <w:tc>
          <w:tcPr>
            <w:tcW w:w="33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21"/>
                <w:szCs w:val="21"/>
                <w:color w:val="auto"/>
              </w:rPr>
            </w:pPr>
          </w:p>
        </w:tc>
        <w:tc>
          <w:tcPr>
            <w:tcW w:w="960" w:type="dxa"/>
            <w:vAlign w:val="bottom"/>
          </w:tcPr>
          <w:p>
            <w:pPr>
              <w:jc w:val="right"/>
              <w:ind w:right="25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33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ind w:left="80"/>
              <w:spacing w:after="0"/>
              <w:rPr>
                <w:sz w:val="20"/>
                <w:szCs w:val="20"/>
                <w:color w:val="auto"/>
              </w:rPr>
            </w:pPr>
            <w:r>
              <w:rPr>
                <w:rFonts w:ascii="Arial" w:cs="Arial" w:eastAsia="Arial" w:hAnsi="Arial"/>
                <w:sz w:val="18"/>
                <w:szCs w:val="18"/>
                <w:color w:val="auto"/>
              </w:rPr>
              <w:t>% Change</w:t>
            </w:r>
          </w:p>
        </w:tc>
        <w:tc>
          <w:tcPr>
            <w:tcW w:w="160" w:type="dxa"/>
            <w:vAlign w:val="bottom"/>
          </w:tcPr>
          <w:p>
            <w:pPr>
              <w:spacing w:after="0"/>
              <w:rPr>
                <w:sz w:val="21"/>
                <w:szCs w:val="21"/>
                <w:color w:val="auto"/>
              </w:rPr>
            </w:pPr>
          </w:p>
        </w:tc>
        <w:tc>
          <w:tcPr>
            <w:tcW w:w="1040" w:type="dxa"/>
            <w:vAlign w:val="bottom"/>
          </w:tcPr>
          <w:p>
            <w:pPr>
              <w:jc w:val="right"/>
              <w:ind w:right="33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color w:val="auto"/>
                <w:w w:val="99"/>
              </w:rPr>
              <w:t>% Change</w:t>
            </w:r>
          </w:p>
        </w:tc>
      </w:tr>
      <w:tr>
        <w:trPr>
          <w:trHeight w:val="223"/>
        </w:trPr>
        <w:tc>
          <w:tcPr>
            <w:tcW w:w="3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(8,532)</w:t>
            </w:r>
          </w:p>
        </w:tc>
        <w:tc>
          <w:tcPr>
            <w:tcW w:w="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(4,009)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113 %</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(22,894)</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(11,368)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101 %</w:t>
            </w:r>
          </w:p>
        </w:tc>
      </w:tr>
      <w:tr>
        <w:trPr>
          <w:trHeight w:val="229"/>
        </w:trPr>
        <w:tc>
          <w:tcPr>
            <w:tcW w:w="3320" w:type="dxa"/>
            <w:vAlign w:val="bottom"/>
          </w:tcPr>
          <w:p>
            <w:pPr>
              <w:ind w:left="20"/>
              <w:spacing w:after="0"/>
              <w:rPr>
                <w:sz w:val="20"/>
                <w:szCs w:val="20"/>
                <w:color w:val="auto"/>
              </w:rPr>
            </w:pPr>
            <w:r>
              <w:rPr>
                <w:rFonts w:ascii="Arial" w:cs="Arial" w:eastAsia="Arial" w:hAnsi="Arial"/>
                <w:sz w:val="18"/>
                <w:szCs w:val="18"/>
                <w:color w:val="auto"/>
              </w:rPr>
              <w:t>Interest income and other, net</w:t>
            </w:r>
          </w:p>
        </w:tc>
        <w:tc>
          <w:tcPr>
            <w:tcW w:w="1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788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219 %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1,895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991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91 %</w:t>
            </w:r>
          </w:p>
        </w:tc>
      </w:tr>
      <w:tr>
        <w:trPr>
          <w:trHeight w:val="230"/>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loss, net</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(577)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(1,502)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(832)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81 %</w:t>
            </w:r>
          </w:p>
        </w:tc>
      </w:tr>
      <w:tr>
        <w:trPr>
          <w:trHeight w:val="223"/>
        </w:trPr>
        <w:tc>
          <w:tcPr>
            <w:tcW w:w="3320" w:type="dxa"/>
            <w:vAlign w:val="bottom"/>
          </w:tcPr>
          <w:p>
            <w:pPr>
              <w:ind w:left="20"/>
              <w:spacing w:after="0"/>
              <w:rPr>
                <w:sz w:val="20"/>
                <w:szCs w:val="20"/>
                <w:color w:val="auto"/>
              </w:rPr>
            </w:pPr>
            <w:r>
              <w:rPr>
                <w:rFonts w:ascii="Arial" w:cs="Arial" w:eastAsia="Arial" w:hAnsi="Arial"/>
                <w:sz w:val="18"/>
                <w:szCs w:val="18"/>
                <w:color w:val="auto"/>
              </w:rPr>
              <w:t>Total other expense, net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(8,419)</w:t>
            </w:r>
          </w:p>
        </w:tc>
        <w:tc>
          <w:tcPr>
            <w:tcW w:w="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(4,339)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94 %</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(22,501)</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(11,209)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101 %</w:t>
            </w:r>
          </w:p>
        </w:tc>
      </w:tr>
      <w:tr>
        <w:trPr>
          <w:trHeight w:val="20"/>
        </w:trPr>
        <w:tc>
          <w:tcPr>
            <w:tcW w:w="33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r>
      <w:tr>
        <w:trPr>
          <w:trHeight w:val="223"/>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bl>
    <w:p>
      <w:pPr>
        <w:spacing w:after="0" w:line="200" w:lineRule="exact"/>
        <w:rPr>
          <w:sz w:val="20"/>
          <w:szCs w:val="20"/>
          <w:color w:val="auto"/>
        </w:rPr>
      </w:pPr>
    </w:p>
    <w:p>
      <w:pPr>
        <w:spacing w:after="0" w:line="20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Other expense, net, increased in both periods shown primarily due to increased interest expense on our term loan and our revolving line of credit, which we drew on to fund part of our acquisition of MarkLogic. Interest income and other, net increased due to our acquisition of MarkLogic. Foreign currency loss</w:t>
      </w:r>
    </w:p>
    <w:p>
      <w:pPr>
        <w:sectPr>
          <w:pgSz w:w="11900" w:h="16838" w:orient="portrait"/>
          <w:cols w:equalWidth="0" w:num="1">
            <w:col w:w="11240"/>
          </w:cols>
          <w:pgMar w:left="320" w:top="895" w:right="339" w:bottom="1440" w:gutter="0" w:footer="0" w:header="0"/>
        </w:sectPr>
      </w:pPr>
    </w:p>
    <w:p>
      <w:pPr>
        <w:spacing w:after="0"/>
        <w:rPr>
          <w:sz w:val="20"/>
          <w:szCs w:val="20"/>
          <w:color w:val="auto"/>
        </w:rPr>
      </w:pPr>
      <w:r>
        <w:rPr>
          <w:rFonts w:ascii="Arial" w:cs="Arial" w:eastAsia="Arial" w:hAnsi="Arial"/>
          <w:sz w:val="18"/>
          <w:szCs w:val="18"/>
          <w:color w:val="auto"/>
        </w:rPr>
        <w:t>increased in all periods shown.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(In thousands)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Provision for income taxes</w:t>
      </w:r>
    </w:p>
    <w:p>
      <w:pPr>
        <w:spacing w:after="0" w:line="36" w:lineRule="exact"/>
        <w:rPr>
          <w:sz w:val="20"/>
          <w:szCs w:val="20"/>
          <w:color w:val="auto"/>
        </w:rPr>
      </w:pPr>
    </w:p>
    <w:p>
      <w:pPr>
        <w:ind w:left="20"/>
        <w:spacing w:after="0" w:line="235" w:lineRule="auto"/>
        <w:rPr>
          <w:sz w:val="20"/>
          <w:szCs w:val="20"/>
          <w:color w:val="auto"/>
        </w:rPr>
      </w:pPr>
      <w:r>
        <w:rPr>
          <w:rFonts w:ascii="Arial" w:cs="Arial" w:eastAsia="Arial" w:hAnsi="Arial"/>
          <w:sz w:val="18"/>
          <w:szCs w:val="18"/>
          <w:i w:val="1"/>
          <w:iCs w:val="1"/>
          <w:color w:val="auto"/>
        </w:rPr>
        <w:t>As a percentage of income before income taxes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w w:val="93"/>
              </w:rPr>
              <w:t>Three Months Ended</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color w:val="auto"/>
                <w:w w:val="97"/>
              </w:rPr>
              <w:t>Nine Months Ended</w:t>
            </w:r>
          </w:p>
        </w:tc>
        <w:tc>
          <w:tcPr>
            <w:tcW w:w="1120" w:type="dxa"/>
            <w:vAlign w:val="bottom"/>
            <w:tcBorders>
              <w:bottom w:val="single" w:sz="8" w:color="auto"/>
            </w:tcBorders>
          </w:tcPr>
          <w:p>
            <w:pPr>
              <w:spacing w:after="0"/>
              <w:rPr>
                <w:sz w:val="20"/>
                <w:szCs w:val="20"/>
                <w:color w:val="auto"/>
              </w:rPr>
            </w:pPr>
          </w:p>
        </w:tc>
      </w:tr>
      <w:tr>
        <w:trPr>
          <w:trHeight w:val="169"/>
        </w:trPr>
        <w:tc>
          <w:tcPr>
            <w:tcW w:w="140" w:type="dxa"/>
            <w:vAlign w:val="bottom"/>
          </w:tcPr>
          <w:p>
            <w:pPr>
              <w:spacing w:after="0"/>
              <w:rPr>
                <w:sz w:val="14"/>
                <w:szCs w:val="14"/>
                <w:color w:val="auto"/>
              </w:rPr>
            </w:pPr>
          </w:p>
        </w:tc>
        <w:tc>
          <w:tcPr>
            <w:tcW w:w="1020" w:type="dxa"/>
            <w:vAlign w:val="bottom"/>
          </w:tcPr>
          <w:p>
            <w:pPr>
              <w:jc w:val="right"/>
              <w:ind w:right="90"/>
              <w:spacing w:after="0" w:line="169" w:lineRule="exact"/>
              <w:rPr>
                <w:sz w:val="20"/>
                <w:szCs w:val="20"/>
                <w:color w:val="auto"/>
              </w:rPr>
            </w:pPr>
            <w:r>
              <w:rPr>
                <w:rFonts w:ascii="Arial" w:cs="Arial" w:eastAsia="Arial" w:hAnsi="Arial"/>
                <w:sz w:val="18"/>
                <w:szCs w:val="18"/>
                <w:color w:val="auto"/>
                <w:w w:val="95"/>
              </w:rPr>
              <w:t>August 31,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3"/>
          </w:tcPr>
          <w:p>
            <w:pPr>
              <w:ind w:left="60"/>
              <w:spacing w:after="0" w:line="169" w:lineRule="exact"/>
              <w:rPr>
                <w:sz w:val="20"/>
                <w:szCs w:val="20"/>
                <w:color w:val="auto"/>
              </w:rPr>
            </w:pPr>
            <w:r>
              <w:rPr>
                <w:rFonts w:ascii="Arial" w:cs="Arial" w:eastAsia="Arial" w:hAnsi="Arial"/>
                <w:sz w:val="18"/>
                <w:szCs w:val="18"/>
                <w:color w:val="auto"/>
              </w:rPr>
              <w:t>August 31,</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ind w:right="130"/>
              <w:spacing w:after="0" w:line="169" w:lineRule="exact"/>
              <w:rPr>
                <w:sz w:val="20"/>
                <w:szCs w:val="20"/>
                <w:color w:val="auto"/>
              </w:rPr>
            </w:pPr>
            <w:r>
              <w:rPr>
                <w:rFonts w:ascii="Arial" w:cs="Arial" w:eastAsia="Arial" w:hAnsi="Arial"/>
                <w:sz w:val="18"/>
                <w:szCs w:val="18"/>
                <w:color w:val="auto"/>
                <w:w w:val="95"/>
              </w:rPr>
              <w:t>August 31,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3"/>
          </w:tcPr>
          <w:p>
            <w:pPr>
              <w:ind w:left="60"/>
              <w:spacing w:after="0" w:line="169" w:lineRule="exact"/>
              <w:rPr>
                <w:sz w:val="20"/>
                <w:szCs w:val="20"/>
                <w:color w:val="auto"/>
              </w:rPr>
            </w:pPr>
            <w:r>
              <w:rPr>
                <w:rFonts w:ascii="Arial" w:cs="Arial" w:eastAsia="Arial" w:hAnsi="Arial"/>
                <w:sz w:val="18"/>
                <w:szCs w:val="18"/>
                <w:color w:val="auto"/>
              </w:rPr>
              <w:t>August 31,</w:t>
            </w:r>
          </w:p>
        </w:tc>
        <w:tc>
          <w:tcPr>
            <w:tcW w:w="1120" w:type="dxa"/>
            <w:vAlign w:val="bottom"/>
          </w:tcPr>
          <w:p>
            <w:pPr>
              <w:spacing w:after="0"/>
              <w:rPr>
                <w:sz w:val="14"/>
                <w:szCs w:val="14"/>
                <w:color w:val="auto"/>
              </w:rPr>
            </w:pPr>
          </w:p>
        </w:tc>
      </w:tr>
      <w:tr>
        <w:trPr>
          <w:trHeight w:val="243"/>
        </w:trPr>
        <w:tc>
          <w:tcPr>
            <w:tcW w:w="140" w:type="dxa"/>
            <w:vAlign w:val="bottom"/>
          </w:tcPr>
          <w:p>
            <w:pPr>
              <w:spacing w:after="0"/>
              <w:rPr>
                <w:sz w:val="21"/>
                <w:szCs w:val="21"/>
                <w:color w:val="auto"/>
              </w:rPr>
            </w:pPr>
          </w:p>
        </w:tc>
        <w:tc>
          <w:tcPr>
            <w:tcW w:w="1020" w:type="dxa"/>
            <w:vAlign w:val="bottom"/>
          </w:tcPr>
          <w:p>
            <w:pPr>
              <w:jc w:val="right"/>
              <w:ind w:right="290"/>
              <w:spacing w:after="0"/>
              <w:rPr>
                <w:sz w:val="20"/>
                <w:szCs w:val="20"/>
                <w:color w:val="auto"/>
              </w:rPr>
            </w:pPr>
            <w:r>
              <w:rPr>
                <w:rFonts w:ascii="Arial" w:cs="Arial" w:eastAsia="Arial" w:hAnsi="Arial"/>
                <w:sz w:val="18"/>
                <w:szCs w:val="18"/>
                <w:color w:val="auto"/>
              </w:rPr>
              <w:t>2023</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33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gridSpan w:val="3"/>
          </w:tcPr>
          <w:p>
            <w:pPr>
              <w:jc w:val="right"/>
              <w:ind w:right="430"/>
              <w:spacing w:after="0"/>
              <w:rPr>
                <w:sz w:val="20"/>
                <w:szCs w:val="20"/>
                <w:color w:val="auto"/>
              </w:rPr>
            </w:pPr>
            <w:r>
              <w:rPr>
                <w:rFonts w:ascii="Arial" w:cs="Arial" w:eastAsia="Arial" w:hAnsi="Arial"/>
                <w:sz w:val="18"/>
                <w:szCs w:val="18"/>
                <w:color w:val="auto"/>
                <w:w w:val="97"/>
              </w:rPr>
              <w:t>% Change</w:t>
            </w:r>
          </w:p>
        </w:tc>
        <w:tc>
          <w:tcPr>
            <w:tcW w:w="1060" w:type="dxa"/>
            <w:vAlign w:val="bottom"/>
          </w:tcPr>
          <w:p>
            <w:pPr>
              <w:jc w:val="right"/>
              <w:ind w:right="33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33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color w:val="auto"/>
                <w:w w:val="99"/>
              </w:rPr>
              <w:t>% Change</w:t>
            </w:r>
          </w:p>
        </w:tc>
      </w:tr>
      <w:tr>
        <w:trPr>
          <w:trHeight w:val="224"/>
        </w:trPr>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1,854</w:t>
            </w:r>
          </w:p>
        </w:tc>
        <w:tc>
          <w:tcPr>
            <w:tcW w:w="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5,885</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10,623</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19,118</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w:t>
            </w:r>
          </w:p>
        </w:tc>
      </w:tr>
      <w:tr>
        <w:trPr>
          <w:trHeight w:val="418"/>
        </w:trPr>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i w:val="1"/>
                <w:iCs w:val="1"/>
                <w:color w:val="auto"/>
              </w:rPr>
              <w:t>9 %</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i w:val="1"/>
                <w:iCs w:val="1"/>
                <w:color w:val="auto"/>
              </w:rPr>
              <w:t>21 %</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16 %</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21 %</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-2127885</wp:posOffset>
            </wp:positionH>
            <wp:positionV relativeFrom="paragraph">
              <wp:posOffset>-419735</wp:posOffset>
            </wp:positionV>
            <wp:extent cx="7132320" cy="1543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00" w:space="360"/>
            <w:col w:w="7880"/>
          </w:cols>
          <w:pgMar w:left="320" w:top="895" w:right="339" w:bottom="1440" w:gutter="0" w:footer="0" w:header="0"/>
          <w:type w:val="continuous"/>
        </w:sectPr>
      </w:pPr>
    </w:p>
    <w:p>
      <w:pPr>
        <w:spacing w:after="0" w:line="191" w:lineRule="exact"/>
        <w:rPr>
          <w:sz w:val="20"/>
          <w:szCs w:val="20"/>
          <w:color w:val="auto"/>
        </w:rPr>
      </w:pPr>
    </w:p>
    <w:p>
      <w:pPr>
        <w:ind w:right="180"/>
        <w:spacing w:after="0" w:line="241" w:lineRule="auto"/>
        <w:rPr>
          <w:sz w:val="20"/>
          <w:szCs w:val="20"/>
          <w:color w:val="auto"/>
        </w:rPr>
      </w:pPr>
      <w:r>
        <w:rPr>
          <w:rFonts w:ascii="Arial" w:cs="Arial" w:eastAsia="Arial" w:hAnsi="Arial"/>
          <w:sz w:val="18"/>
          <w:szCs w:val="18"/>
          <w:color w:val="auto"/>
        </w:rPr>
        <w:t>Our effective tax rate was 9% and 16% for the three and nine months ended August 31, 2023, respectively and 21% for both the three and nine months ended August 31, 2022. The primary reason for the decrease in the effective rate was due to discrete tax benefits related to stock-based compensation and the impacts of Notice 2023-55, which was issued by the Internal Revenue Service during July 2023 and provides temporary relief for taxpayers in determining whether a foreign tax is eligible for a foreign tax credit under Sections 901 and 903 of the Internal Revenue Code. There were no significant discrete tax items in the three or nine months ended August 31, 2022.</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r>
              <w:rPr>
                <w:rFonts w:ascii="Arial" w:cs="Arial" w:eastAsia="Arial" w:hAnsi="Arial"/>
                <w:sz w:val="18"/>
                <w:szCs w:val="18"/>
                <w:i w:val="1"/>
                <w:iCs w:val="1"/>
                <w:color w:val="auto"/>
              </w:rPr>
              <w:t>Net Income</w:t>
            </w: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7"/>
        </w:trPr>
        <w:tc>
          <w:tcPr>
            <w:tcW w:w="33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gridSpan w:val="6"/>
          </w:tcPr>
          <w:p>
            <w:pPr>
              <w:ind w:left="100"/>
              <w:spacing w:after="0"/>
              <w:rPr>
                <w:sz w:val="20"/>
                <w:szCs w:val="20"/>
                <w:color w:val="auto"/>
              </w:rPr>
            </w:pPr>
            <w:r>
              <w:rPr>
                <w:rFonts w:ascii="Arial" w:cs="Arial" w:eastAsia="Arial" w:hAnsi="Arial"/>
                <w:sz w:val="18"/>
                <w:szCs w:val="18"/>
                <w:color w:val="auto"/>
                <w:w w:val="93"/>
              </w:rPr>
              <w:t>Three Months Ended</w:t>
            </w:r>
          </w:p>
        </w:tc>
        <w:tc>
          <w:tcPr>
            <w:tcW w:w="11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color w:val="auto"/>
                <w:w w:val="97"/>
              </w:rPr>
              <w:t>Nine Months Ended</w:t>
            </w:r>
          </w:p>
        </w:tc>
        <w:tc>
          <w:tcPr>
            <w:tcW w:w="1120" w:type="dxa"/>
            <w:vAlign w:val="bottom"/>
            <w:tcBorders>
              <w:bottom w:val="single" w:sz="8" w:color="auto"/>
            </w:tcBorders>
          </w:tcPr>
          <w:p>
            <w:pPr>
              <w:spacing w:after="0"/>
              <w:rPr>
                <w:sz w:val="22"/>
                <w:szCs w:val="22"/>
                <w:color w:val="auto"/>
              </w:rPr>
            </w:pPr>
          </w:p>
        </w:tc>
      </w:tr>
      <w:tr>
        <w:trPr>
          <w:trHeight w:val="169"/>
        </w:trPr>
        <w:tc>
          <w:tcPr>
            <w:tcW w:w="3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spacing w:after="0" w:line="169" w:lineRule="exact"/>
              <w:rPr>
                <w:sz w:val="20"/>
                <w:szCs w:val="20"/>
                <w:color w:val="auto"/>
              </w:rPr>
            </w:pPr>
            <w:r>
              <w:rPr>
                <w:rFonts w:ascii="Arial" w:cs="Arial" w:eastAsia="Arial" w:hAnsi="Arial"/>
                <w:sz w:val="18"/>
                <w:szCs w:val="18"/>
                <w:color w:val="auto"/>
                <w:w w:val="95"/>
              </w:rPr>
              <w:t>August 31,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3"/>
          </w:tcPr>
          <w:p>
            <w:pPr>
              <w:ind w:left="60"/>
              <w:spacing w:after="0" w:line="169" w:lineRule="exact"/>
              <w:rPr>
                <w:sz w:val="20"/>
                <w:szCs w:val="20"/>
                <w:color w:val="auto"/>
              </w:rPr>
            </w:pPr>
            <w:r>
              <w:rPr>
                <w:rFonts w:ascii="Arial" w:cs="Arial" w:eastAsia="Arial" w:hAnsi="Arial"/>
                <w:sz w:val="18"/>
                <w:szCs w:val="18"/>
                <w:color w:val="auto"/>
              </w:rPr>
              <w:t>August 31,</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ind w:right="130"/>
              <w:spacing w:after="0" w:line="169" w:lineRule="exact"/>
              <w:rPr>
                <w:sz w:val="20"/>
                <w:szCs w:val="20"/>
                <w:color w:val="auto"/>
              </w:rPr>
            </w:pPr>
            <w:r>
              <w:rPr>
                <w:rFonts w:ascii="Arial" w:cs="Arial" w:eastAsia="Arial" w:hAnsi="Arial"/>
                <w:sz w:val="18"/>
                <w:szCs w:val="18"/>
                <w:color w:val="auto"/>
                <w:w w:val="95"/>
              </w:rPr>
              <w:t>August 31,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3"/>
          </w:tcPr>
          <w:p>
            <w:pPr>
              <w:ind w:left="60"/>
              <w:spacing w:after="0" w:line="169" w:lineRule="exact"/>
              <w:rPr>
                <w:sz w:val="20"/>
                <w:szCs w:val="20"/>
                <w:color w:val="auto"/>
              </w:rPr>
            </w:pPr>
            <w:r>
              <w:rPr>
                <w:rFonts w:ascii="Arial" w:cs="Arial" w:eastAsia="Arial" w:hAnsi="Arial"/>
                <w:sz w:val="18"/>
                <w:szCs w:val="18"/>
                <w:color w:val="auto"/>
              </w:rPr>
              <w:t>August 31,</w:t>
            </w:r>
          </w:p>
        </w:tc>
        <w:tc>
          <w:tcPr>
            <w:tcW w:w="1120" w:type="dxa"/>
            <w:vAlign w:val="bottom"/>
          </w:tcPr>
          <w:p>
            <w:pPr>
              <w:spacing w:after="0"/>
              <w:rPr>
                <w:sz w:val="14"/>
                <w:szCs w:val="14"/>
                <w:color w:val="auto"/>
              </w:rPr>
            </w:pPr>
          </w:p>
        </w:tc>
      </w:tr>
      <w:tr>
        <w:trPr>
          <w:trHeight w:val="243"/>
        </w:trPr>
        <w:tc>
          <w:tcPr>
            <w:tcW w:w="33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21"/>
                <w:szCs w:val="21"/>
                <w:color w:val="auto"/>
              </w:rPr>
            </w:pPr>
          </w:p>
        </w:tc>
        <w:tc>
          <w:tcPr>
            <w:tcW w:w="920" w:type="dxa"/>
            <w:vAlign w:val="bottom"/>
          </w:tcPr>
          <w:p>
            <w:pPr>
              <w:jc w:val="right"/>
              <w:ind w:right="21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33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gridSpan w:val="3"/>
          </w:tcPr>
          <w:p>
            <w:pPr>
              <w:jc w:val="right"/>
              <w:ind w:right="430"/>
              <w:spacing w:after="0"/>
              <w:rPr>
                <w:sz w:val="20"/>
                <w:szCs w:val="20"/>
                <w:color w:val="auto"/>
              </w:rPr>
            </w:pPr>
            <w:r>
              <w:rPr>
                <w:rFonts w:ascii="Arial" w:cs="Arial" w:eastAsia="Arial" w:hAnsi="Arial"/>
                <w:sz w:val="18"/>
                <w:szCs w:val="18"/>
                <w:color w:val="auto"/>
                <w:w w:val="97"/>
              </w:rPr>
              <w:t>% Change</w:t>
            </w:r>
          </w:p>
        </w:tc>
        <w:tc>
          <w:tcPr>
            <w:tcW w:w="1060" w:type="dxa"/>
            <w:vAlign w:val="bottom"/>
          </w:tcPr>
          <w:p>
            <w:pPr>
              <w:jc w:val="right"/>
              <w:ind w:right="33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33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color w:val="auto"/>
                <w:w w:val="99"/>
              </w:rPr>
              <w:t>% Change</w:t>
            </w:r>
          </w:p>
        </w:tc>
      </w:tr>
      <w:tr>
        <w:trPr>
          <w:trHeight w:val="223"/>
        </w:trPr>
        <w:tc>
          <w:tcPr>
            <w:tcW w:w="3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19,098</w:t>
            </w:r>
          </w:p>
        </w:tc>
        <w:tc>
          <w:tcPr>
            <w:tcW w:w="1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21,797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54,862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71,361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334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16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i w:val="1"/>
                <w:iCs w:val="1"/>
                <w:color w:val="auto"/>
              </w:rPr>
              <w:t>11 %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14 %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11 %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16 %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 Performance Metrics:</w:t>
      </w:r>
    </w:p>
    <w:p>
      <w:pPr>
        <w:spacing w:after="0" w:line="256"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Management evaluates our financial performance using a number of financial and operating metrics. These metrics are periodically reviewed and revised to reflect changes in our business.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Recurring Revenue (ARR)</w:t>
      </w:r>
    </w:p>
    <w:p>
      <w:pPr>
        <w:spacing w:after="0" w:line="252"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We are providing an ARR performance metric to help investors better understand and assess the performance of our business because our mix of revenue generated from recurring sources has increased in recent years. ARR represents the annualized contract value for all active and contractually binding term-based contracts at the end of a period. ARR includes maintenance, software upgrade rights, both public and dedicated cloud instances and on-premises subscription-based transactions and managed services. ARR mitigates fluctuations due to seasonality, contract term and the sales mix of subscriptions for term-based licenses and SaaS. ARR is not calculated in accordance with GAAP. ARR does not have any standardized meaning and is therefore unlikely to be comparable to similarly titled measures presented by other companies. ARR should be viewed independently of revenue and deferred revenue and is not intended to be combined with or to replace either of those items. ARR is not a forecast and the active contracts at the end of a reporting period used in calculating ARR may or may not be extended or renewed by our customers.</w:t>
      </w:r>
    </w:p>
    <w:p>
      <w:pPr>
        <w:sectPr>
          <w:pgSz w:w="11900" w:h="16838" w:orient="portrait"/>
          <w:cols w:equalWidth="0" w:num="1">
            <w:col w:w="11240"/>
          </w:cols>
          <w:pgMar w:left="320" w:top="895" w:right="339" w:bottom="1440" w:gutter="0" w:footer="0" w:header="0"/>
          <w:type w:val="continuous"/>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29" w:name="page30"/>
    <w:bookmarkEnd w:id="29"/>
    <w:p>
      <w:pPr>
        <w:ind w:right="240"/>
        <w:spacing w:after="0" w:line="259" w:lineRule="auto"/>
        <w:rPr>
          <w:sz w:val="20"/>
          <w:szCs w:val="20"/>
          <w:color w:val="auto"/>
        </w:rPr>
      </w:pPr>
      <w:r>
        <w:rPr>
          <w:rFonts w:ascii="Arial" w:cs="Arial" w:eastAsia="Arial" w:hAnsi="Arial"/>
          <w:sz w:val="18"/>
          <w:szCs w:val="18"/>
          <w:color w:val="auto"/>
        </w:rPr>
        <w:t>We define ARR as the annual recurring revenue of term-based contracts from all customers at a point in time. We calculate ARR by taking monthly recurring revenue, or MRR, and multiplying it by 12. MRR for each month is calculated by aggregating, for all customers during that month, monthly revenue from committed contractual amounts, additional usage and monthly subscriptions. The calculation is done at constant currency using the current year budgeted exchange rates for all periods presented.</w:t>
      </w:r>
    </w:p>
    <w:p>
      <w:pPr>
        <w:spacing w:after="0" w:line="214"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Our ARR was $577.0 million and $488.0 million as of August 31, 2023 and 2022, respectively, which is an increase of 18% year-over-year. The growth in our ARR is primarily driven by the acquisition of MarkLogic.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Retention Rate</w:t>
      </w:r>
    </w:p>
    <w:p>
      <w:pPr>
        <w:spacing w:after="0" w:line="25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calculate net retention rate as of a period end by starting with the ARR from the cohort of all customers as of 12 months prior to such period end ("Prior Period ARR"). We then calculate the ARR from these same customers as of the current period end ("Current Period ARR"). Current Period ARR includes any expansion and is net of contraction or attrition over the last 12 months but excludes ARR from new customers in the current period. We then divide the total Current Period ARR by the total Prior Period ARR to arrive at the net retention rate. Net retention rate is not calculated in accordance with GAAP.</w:t>
      </w:r>
    </w:p>
    <w:p>
      <w:pPr>
        <w:spacing w:after="0" w:line="177"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Our net retention rates have generally ranged between 100% and 102% for all periods presented. Our high net retention rates illustrate our predictable and durable top line performance.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80" w:type="dxa"/>
            <w:vAlign w:val="bottom"/>
          </w:tcPr>
          <w:p>
            <w:pPr>
              <w:spacing w:after="0"/>
              <w:rPr>
                <w:sz w:val="20"/>
                <w:szCs w:val="20"/>
                <w:color w:val="auto"/>
              </w:rPr>
            </w:pPr>
            <w:r>
              <w:rPr>
                <w:rFonts w:ascii="Arial" w:cs="Arial" w:eastAsia="Arial" w:hAnsi="Arial"/>
                <w:sz w:val="18"/>
                <w:szCs w:val="18"/>
                <w:b w:val="1"/>
                <w:bCs w:val="1"/>
                <w:color w:val="auto"/>
              </w:rPr>
              <w:t>Liquidity and Capital Resources</w:t>
            </w:r>
          </w:p>
        </w:tc>
        <w:tc>
          <w:tcPr>
            <w:tcW w:w="2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459"/>
        </w:trPr>
        <w:tc>
          <w:tcPr>
            <w:tcW w:w="7180" w:type="dxa"/>
            <w:vAlign w:val="bottom"/>
          </w:tcPr>
          <w:p>
            <w:pPr>
              <w:spacing w:after="0"/>
              <w:rPr>
                <w:sz w:val="20"/>
                <w:szCs w:val="20"/>
                <w:color w:val="auto"/>
              </w:rPr>
            </w:pPr>
            <w:r>
              <w:rPr>
                <w:rFonts w:ascii="Arial" w:cs="Arial" w:eastAsia="Arial" w:hAnsi="Arial"/>
                <w:sz w:val="18"/>
                <w:szCs w:val="18"/>
                <w:i w:val="1"/>
                <w:iCs w:val="1"/>
                <w:color w:val="auto"/>
              </w:rPr>
              <w:t>Cash and Cash Equivalents</w:t>
            </w: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540"/>
        </w:trPr>
        <w:tc>
          <w:tcPr>
            <w:tcW w:w="71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Pr>
          <w:p>
            <w:pPr>
              <w:spacing w:after="0"/>
              <w:rPr>
                <w:sz w:val="24"/>
                <w:szCs w:val="24"/>
                <w:color w:val="auto"/>
              </w:rPr>
            </w:pPr>
          </w:p>
        </w:tc>
        <w:tc>
          <w:tcPr>
            <w:tcW w:w="1820" w:type="dxa"/>
            <w:vAlign w:val="bottom"/>
            <w:gridSpan w:val="2"/>
          </w:tcPr>
          <w:p>
            <w:pPr>
              <w:ind w:left="140"/>
              <w:spacing w:after="0"/>
              <w:rPr>
                <w:sz w:val="20"/>
                <w:szCs w:val="20"/>
                <w:color w:val="auto"/>
              </w:rPr>
            </w:pPr>
            <w:r>
              <w:rPr>
                <w:rFonts w:ascii="Arial" w:cs="Arial" w:eastAsia="Arial" w:hAnsi="Arial"/>
                <w:sz w:val="18"/>
                <w:szCs w:val="18"/>
                <w:color w:val="auto"/>
              </w:rPr>
              <w:t>August 31, 2023</w:t>
            </w:r>
          </w:p>
        </w:tc>
        <w:tc>
          <w:tcPr>
            <w:tcW w:w="200" w:type="dxa"/>
            <w:vAlign w:val="bottom"/>
          </w:tcPr>
          <w:p>
            <w:pPr>
              <w:spacing w:after="0"/>
              <w:rPr>
                <w:sz w:val="24"/>
                <w:szCs w:val="24"/>
                <w:color w:val="auto"/>
              </w:rPr>
            </w:pPr>
          </w:p>
        </w:tc>
        <w:tc>
          <w:tcPr>
            <w:tcW w:w="1780" w:type="dxa"/>
            <w:vAlign w:val="bottom"/>
          </w:tcPr>
          <w:p>
            <w:pPr>
              <w:jc w:val="right"/>
              <w:ind w:right="170"/>
              <w:spacing w:after="0"/>
              <w:rPr>
                <w:sz w:val="20"/>
                <w:szCs w:val="20"/>
                <w:color w:val="auto"/>
              </w:rPr>
            </w:pPr>
            <w:r>
              <w:rPr>
                <w:rFonts w:ascii="Arial" w:cs="Arial" w:eastAsia="Arial" w:hAnsi="Arial"/>
                <w:sz w:val="18"/>
                <w:szCs w:val="18"/>
                <w:color w:val="auto"/>
                <w:w w:val="94"/>
              </w:rPr>
              <w:t>November 30, 2022</w:t>
            </w:r>
          </w:p>
        </w:tc>
      </w:tr>
      <w:tr>
        <w:trPr>
          <w:trHeight w:val="223"/>
        </w:trPr>
        <w:tc>
          <w:tcPr>
            <w:tcW w:w="7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137,999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256,277</w:t>
            </w:r>
          </w:p>
        </w:tc>
      </w:tr>
    </w:tbl>
    <w:p>
      <w:pPr>
        <w:spacing w:after="0" w:line="296"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The decrease in cash and cash equivalents of $118.3 million from the end of fiscal year 2022 was due to cash outflows of $355.3 million for cash paid for acquisitions, net of cash acquired, repayment of the revolving line of credit of $55.0 million, repurchases of common stock of $30.0 million, dividend payments of $23.7 million, payments of debt obligations of $5.2 million, and purchases of property and equipment of $3.2 million. These cash outflows were offset by proceeds from the issuance of debt of $195.0 million to partially fund the acquisition of MarkLogic, cash inflows from operations of $140.8 million, $12.3 million in cash received from the issuance of common stock, and the effect of exchange rates on cash of $5.5 million. Except as described below, there are no limitations on our ability to access our cash and cash equivalents.</w:t>
      </w:r>
    </w:p>
    <w:p>
      <w:pPr>
        <w:spacing w:after="0" w:line="202" w:lineRule="exact"/>
        <w:rPr>
          <w:sz w:val="20"/>
          <w:szCs w:val="20"/>
          <w:color w:val="auto"/>
        </w:rPr>
      </w:pPr>
    </w:p>
    <w:p>
      <w:pPr>
        <w:ind w:right="160"/>
        <w:spacing w:after="0" w:line="262" w:lineRule="auto"/>
        <w:rPr>
          <w:sz w:val="20"/>
          <w:szCs w:val="20"/>
          <w:color w:val="auto"/>
        </w:rPr>
      </w:pPr>
      <w:r>
        <w:rPr>
          <w:rFonts w:ascii="Arial" w:cs="Arial" w:eastAsia="Arial" w:hAnsi="Arial"/>
          <w:sz w:val="17"/>
          <w:szCs w:val="17"/>
          <w:color w:val="auto"/>
        </w:rPr>
        <w:t>As of August 31, 2023, $84.4 million of our cash and cash equivalents was held by our foreign subsidiaries. Foreign cash includes unremitted foreign earnings, which are invested indefinitely outside of the U.S. As such, the foreign cash is not available to fund our domestic operations. If we were to repatriate these earnings, we may be subject to income tax withholding in certain tax jurisdictions and a portion of the repatriated earnings may be subject to U.S. income tax. However, we do not anticipate that this would have a material adverse impact on our liquidity.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25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January 2023, our Board of Directors increased our share repurchase authorization by $150 million, to an aggregate authorization of $228.0 million. In the nine months ended August 31, 2023 and August 31, 2022, we repurchased and retired 0.5 million shares for $30.0 million and 1.7 million shares for $75.5 million, respectively. The shares were repurchased in both periods as part of our Board of Directors authorized share repurchase program. As of August 31, 2023, there was $198.0 million remaining under the current authorization.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39" w:lineRule="exact"/>
        <w:rPr>
          <w:sz w:val="20"/>
          <w:szCs w:val="20"/>
          <w:color w:val="auto"/>
        </w:rPr>
      </w:pPr>
    </w:p>
    <w:p>
      <w:pPr>
        <w:ind w:right="20"/>
        <w:spacing w:after="0"/>
        <w:rPr>
          <w:sz w:val="20"/>
          <w:szCs w:val="20"/>
          <w:color w:val="auto"/>
        </w:rPr>
      </w:pPr>
      <w:r>
        <w:rPr>
          <w:rFonts w:ascii="Arial" w:cs="Arial" w:eastAsia="Arial" w:hAnsi="Arial"/>
          <w:sz w:val="18"/>
          <w:szCs w:val="18"/>
          <w:color w:val="auto"/>
        </w:rPr>
        <w:t>On September 20, 2023, our Board of Directors declared a quarterly dividend of $0.175 per share of common stock, which will be paid on December 15, 2023 to stockholders of record as of the close of business on December 1, 2023. Future declarations of dividends and the establishment of future record and payment dates are subject to the final determination of our Board of Directors.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0"/>
        </w:trPr>
        <w:tc>
          <w:tcPr>
            <w:tcW w:w="7180" w:type="dxa"/>
            <w:vAlign w:val="bottom"/>
          </w:tcPr>
          <w:p>
            <w:pPr>
              <w:spacing w:after="0"/>
              <w:rPr>
                <w:sz w:val="20"/>
                <w:szCs w:val="20"/>
                <w:color w:val="auto"/>
              </w:rPr>
            </w:pPr>
            <w:r>
              <w:rPr>
                <w:rFonts w:ascii="Arial" w:cs="Arial" w:eastAsia="Arial" w:hAnsi="Arial"/>
                <w:sz w:val="18"/>
                <w:szCs w:val="18"/>
                <w:i w:val="1"/>
                <w:iCs w:val="1"/>
                <w:color w:val="auto"/>
              </w:rPr>
              <w:t>Restructuring Activities</w:t>
            </w:r>
          </w:p>
        </w:tc>
        <w:tc>
          <w:tcPr>
            <w:tcW w:w="2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459"/>
        </w:trPr>
        <w:tc>
          <w:tcPr>
            <w:tcW w:w="7180" w:type="dxa"/>
            <w:vAlign w:val="bottom"/>
          </w:tcPr>
          <w:p>
            <w:pPr>
              <w:spacing w:after="0"/>
              <w:rPr>
                <w:sz w:val="20"/>
                <w:szCs w:val="20"/>
                <w:color w:val="auto"/>
              </w:rPr>
            </w:pPr>
            <w:r>
              <w:rPr>
                <w:rFonts w:ascii="Arial" w:cs="Arial" w:eastAsia="Arial" w:hAnsi="Arial"/>
                <w:sz w:val="18"/>
                <w:szCs w:val="18"/>
                <w:color w:val="auto"/>
              </w:rPr>
              <w:t>See Note 12 to the condensed consolidated financial statements.</w:t>
            </w: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459"/>
        </w:trPr>
        <w:tc>
          <w:tcPr>
            <w:tcW w:w="7180" w:type="dxa"/>
            <w:vAlign w:val="bottom"/>
          </w:tcPr>
          <w:p>
            <w:pPr>
              <w:spacing w:after="0"/>
              <w:rPr>
                <w:sz w:val="20"/>
                <w:szCs w:val="20"/>
                <w:color w:val="auto"/>
              </w:rPr>
            </w:pPr>
            <w:r>
              <w:rPr>
                <w:rFonts w:ascii="Arial" w:cs="Arial" w:eastAsia="Arial" w:hAnsi="Arial"/>
                <w:sz w:val="18"/>
                <w:szCs w:val="18"/>
                <w:i w:val="1"/>
                <w:iCs w:val="1"/>
                <w:color w:val="auto"/>
              </w:rPr>
              <w:t>Long-term Debt and Credit Facility</w:t>
            </w: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459"/>
        </w:trPr>
        <w:tc>
          <w:tcPr>
            <w:tcW w:w="7180" w:type="dxa"/>
            <w:vAlign w:val="bottom"/>
          </w:tcPr>
          <w:p>
            <w:pPr>
              <w:spacing w:after="0"/>
              <w:rPr>
                <w:sz w:val="20"/>
                <w:szCs w:val="20"/>
                <w:color w:val="auto"/>
              </w:rPr>
            </w:pPr>
            <w:r>
              <w:rPr>
                <w:rFonts w:ascii="Arial" w:cs="Arial" w:eastAsia="Arial" w:hAnsi="Arial"/>
                <w:sz w:val="18"/>
                <w:szCs w:val="18"/>
                <w:color w:val="auto"/>
              </w:rPr>
              <w:t>See Note 7 to the condensed consolidated financial statements.</w:t>
            </w: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459"/>
        </w:trPr>
        <w:tc>
          <w:tcPr>
            <w:tcW w:w="7180" w:type="dxa"/>
            <w:vAlign w:val="bottom"/>
          </w:tcPr>
          <w:p>
            <w:pPr>
              <w:spacing w:after="0"/>
              <w:rPr>
                <w:sz w:val="20"/>
                <w:szCs w:val="20"/>
                <w:color w:val="auto"/>
              </w:rPr>
            </w:pPr>
            <w:r>
              <w:rPr>
                <w:rFonts w:ascii="Arial" w:cs="Arial" w:eastAsia="Arial" w:hAnsi="Arial"/>
                <w:sz w:val="18"/>
                <w:szCs w:val="18"/>
                <w:i w:val="1"/>
                <w:iCs w:val="1"/>
                <w:color w:val="auto"/>
              </w:rPr>
              <w:t>Cash Flows From Operating Activities</w:t>
            </w: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540"/>
        </w:trPr>
        <w:tc>
          <w:tcPr>
            <w:tcW w:w="71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4"/>
          </w:tcPr>
          <w:p>
            <w:pPr>
              <w:jc w:val="right"/>
              <w:ind w:right="1210"/>
              <w:spacing w:after="0"/>
              <w:rPr>
                <w:sz w:val="20"/>
                <w:szCs w:val="20"/>
                <w:color w:val="auto"/>
              </w:rPr>
            </w:pPr>
            <w:r>
              <w:rPr>
                <w:rFonts w:ascii="Arial" w:cs="Arial" w:eastAsia="Arial" w:hAnsi="Arial"/>
                <w:sz w:val="18"/>
                <w:szCs w:val="18"/>
                <w:color w:val="auto"/>
              </w:rPr>
              <w:t>Nine Months Ended</w:t>
            </w:r>
          </w:p>
        </w:tc>
      </w:tr>
      <w:tr>
        <w:trPr>
          <w:trHeight w:val="223"/>
        </w:trPr>
        <w:tc>
          <w:tcPr>
            <w:tcW w:w="71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Pr>
          <w:p>
            <w:pPr>
              <w:spacing w:after="0"/>
              <w:rPr>
                <w:sz w:val="19"/>
                <w:szCs w:val="19"/>
                <w:color w:val="auto"/>
              </w:rPr>
            </w:pPr>
          </w:p>
        </w:tc>
        <w:tc>
          <w:tcPr>
            <w:tcW w:w="1820" w:type="dxa"/>
            <w:vAlign w:val="bottom"/>
            <w:gridSpan w:val="2"/>
          </w:tcPr>
          <w:p>
            <w:pPr>
              <w:ind w:left="140"/>
              <w:spacing w:after="0"/>
              <w:rPr>
                <w:sz w:val="20"/>
                <w:szCs w:val="20"/>
                <w:color w:val="auto"/>
              </w:rPr>
            </w:pPr>
            <w:r>
              <w:rPr>
                <w:rFonts w:ascii="Arial" w:cs="Arial" w:eastAsia="Arial" w:hAnsi="Arial"/>
                <w:sz w:val="18"/>
                <w:szCs w:val="18"/>
                <w:color w:val="auto"/>
              </w:rPr>
              <w:t>August 31, 2023</w:t>
            </w:r>
          </w:p>
        </w:tc>
        <w:tc>
          <w:tcPr>
            <w:tcW w:w="260" w:type="dxa"/>
            <w:vAlign w:val="bottom"/>
          </w:tcPr>
          <w:p>
            <w:pPr>
              <w:spacing w:after="0"/>
              <w:rPr>
                <w:sz w:val="19"/>
                <w:szCs w:val="19"/>
                <w:color w:val="auto"/>
              </w:rPr>
            </w:pPr>
          </w:p>
        </w:tc>
        <w:tc>
          <w:tcPr>
            <w:tcW w:w="1720" w:type="dxa"/>
            <w:vAlign w:val="bottom"/>
          </w:tcPr>
          <w:p>
            <w:pPr>
              <w:jc w:val="right"/>
              <w:ind w:right="290"/>
              <w:spacing w:after="0"/>
              <w:rPr>
                <w:sz w:val="20"/>
                <w:szCs w:val="20"/>
                <w:color w:val="auto"/>
              </w:rPr>
            </w:pPr>
            <w:r>
              <w:rPr>
                <w:rFonts w:ascii="Arial" w:cs="Arial" w:eastAsia="Arial" w:hAnsi="Arial"/>
                <w:sz w:val="18"/>
                <w:szCs w:val="18"/>
                <w:color w:val="auto"/>
              </w:rPr>
              <w:t>August 31, 2022</w:t>
            </w:r>
          </w:p>
        </w:tc>
      </w:tr>
      <w:tr>
        <w:trPr>
          <w:trHeight w:val="223"/>
        </w:trPr>
        <w:tc>
          <w:tcPr>
            <w:tcW w:w="7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54,862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71,361</w:t>
            </w:r>
          </w:p>
        </w:tc>
      </w:tr>
      <w:tr>
        <w:trPr>
          <w:trHeight w:val="229"/>
        </w:trPr>
        <w:tc>
          <w:tcPr>
            <w:tcW w:w="7180" w:type="dxa"/>
            <w:vAlign w:val="bottom"/>
          </w:tcPr>
          <w:p>
            <w:pPr>
              <w:ind w:left="20"/>
              <w:spacing w:after="0"/>
              <w:rPr>
                <w:sz w:val="20"/>
                <w:szCs w:val="20"/>
                <w:color w:val="auto"/>
              </w:rPr>
            </w:pPr>
            <w:r>
              <w:rPr>
                <w:rFonts w:ascii="Arial" w:cs="Arial" w:eastAsia="Arial" w:hAnsi="Arial"/>
                <w:sz w:val="18"/>
                <w:szCs w:val="18"/>
                <w:color w:val="auto"/>
              </w:rPr>
              <w:t>Non-cash reconciling items included in net income</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96,452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79,505</w:t>
            </w:r>
          </w:p>
        </w:tc>
      </w:tr>
      <w:tr>
        <w:trPr>
          <w:trHeight w:val="229"/>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(10,555)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1,157</w:t>
            </w:r>
          </w:p>
        </w:tc>
      </w:tr>
      <w:tr>
        <w:trPr>
          <w:trHeight w:val="223"/>
        </w:trPr>
        <w:tc>
          <w:tcPr>
            <w:tcW w:w="7180" w:type="dxa"/>
            <w:vAlign w:val="bottom"/>
          </w:tcPr>
          <w:p>
            <w:pPr>
              <w:ind w:left="20"/>
              <w:spacing w:after="0"/>
              <w:rPr>
                <w:sz w:val="20"/>
                <w:szCs w:val="20"/>
                <w:color w:val="auto"/>
              </w:rPr>
            </w:pPr>
            <w:r>
              <w:rPr>
                <w:rFonts w:ascii="Arial" w:cs="Arial" w:eastAsia="Arial" w:hAnsi="Arial"/>
                <w:sz w:val="18"/>
                <w:szCs w:val="18"/>
                <w:color w:val="auto"/>
              </w:rPr>
              <w:t>Net cash flows from operating activities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140,759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152,023</w:t>
            </w:r>
          </w:p>
        </w:tc>
      </w:tr>
      <w:tr>
        <w:trPr>
          <w:trHeight w:val="21"/>
        </w:trPr>
        <w:tc>
          <w:tcPr>
            <w:tcW w:w="7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In the first nine months of fiscal year 2023, operating cash flows decreased as a result of higher operating expenses, due to the acquisition of MarkLogic, higher interest expense on debt, and an increase in cash paid for income taxes, as compared to the same period in 2022, partially offset by higher billings and collections. Our gross accounts receivable as of August 31, 2023, decreased by $2.0 million from the end of fiscal year 2022 and our days sales outstanding (DSO) in accounts receivable increased to 49 days from 48 days in the third fiscal quarter of 2022 due to the timing of billings and collections.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80" w:type="dxa"/>
            <w:vAlign w:val="bottom"/>
          </w:tcPr>
          <w:p>
            <w:pPr>
              <w:spacing w:after="0"/>
              <w:rPr>
                <w:sz w:val="20"/>
                <w:szCs w:val="20"/>
                <w:color w:val="auto"/>
              </w:rPr>
            </w:pPr>
            <w:r>
              <w:rPr>
                <w:rFonts w:ascii="Arial" w:cs="Arial" w:eastAsia="Arial" w:hAnsi="Arial"/>
                <w:sz w:val="18"/>
                <w:szCs w:val="18"/>
                <w:i w:val="1"/>
                <w:iCs w:val="1"/>
                <w:color w:val="auto"/>
              </w:rPr>
              <w:t>Cash Flows (Used in) From Investing Activities</w:t>
            </w:r>
          </w:p>
        </w:tc>
        <w:tc>
          <w:tcPr>
            <w:tcW w:w="2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540"/>
        </w:trPr>
        <w:tc>
          <w:tcPr>
            <w:tcW w:w="71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4"/>
          </w:tcPr>
          <w:p>
            <w:pPr>
              <w:jc w:val="right"/>
              <w:ind w:right="1210"/>
              <w:spacing w:after="0"/>
              <w:rPr>
                <w:sz w:val="20"/>
                <w:szCs w:val="20"/>
                <w:color w:val="auto"/>
              </w:rPr>
            </w:pPr>
            <w:r>
              <w:rPr>
                <w:rFonts w:ascii="Arial" w:cs="Arial" w:eastAsia="Arial" w:hAnsi="Arial"/>
                <w:sz w:val="18"/>
                <w:szCs w:val="18"/>
                <w:color w:val="auto"/>
              </w:rPr>
              <w:t>Nine Months Ended</w:t>
            </w:r>
          </w:p>
        </w:tc>
      </w:tr>
      <w:tr>
        <w:trPr>
          <w:trHeight w:val="223"/>
        </w:trPr>
        <w:tc>
          <w:tcPr>
            <w:tcW w:w="71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Pr>
          <w:p>
            <w:pPr>
              <w:spacing w:after="0"/>
              <w:rPr>
                <w:sz w:val="19"/>
                <w:szCs w:val="19"/>
                <w:color w:val="auto"/>
              </w:rPr>
            </w:pPr>
          </w:p>
        </w:tc>
        <w:tc>
          <w:tcPr>
            <w:tcW w:w="1820" w:type="dxa"/>
            <w:vAlign w:val="bottom"/>
            <w:gridSpan w:val="2"/>
          </w:tcPr>
          <w:p>
            <w:pPr>
              <w:ind w:left="140"/>
              <w:spacing w:after="0"/>
              <w:rPr>
                <w:sz w:val="20"/>
                <w:szCs w:val="20"/>
                <w:color w:val="auto"/>
              </w:rPr>
            </w:pPr>
            <w:r>
              <w:rPr>
                <w:rFonts w:ascii="Arial" w:cs="Arial" w:eastAsia="Arial" w:hAnsi="Arial"/>
                <w:sz w:val="18"/>
                <w:szCs w:val="18"/>
                <w:color w:val="auto"/>
              </w:rPr>
              <w:t>August 31, 2023</w:t>
            </w:r>
          </w:p>
        </w:tc>
        <w:tc>
          <w:tcPr>
            <w:tcW w:w="260" w:type="dxa"/>
            <w:vAlign w:val="bottom"/>
          </w:tcPr>
          <w:p>
            <w:pPr>
              <w:spacing w:after="0"/>
              <w:rPr>
                <w:sz w:val="19"/>
                <w:szCs w:val="19"/>
                <w:color w:val="auto"/>
              </w:rPr>
            </w:pPr>
          </w:p>
        </w:tc>
        <w:tc>
          <w:tcPr>
            <w:tcW w:w="1720" w:type="dxa"/>
            <w:vAlign w:val="bottom"/>
          </w:tcPr>
          <w:p>
            <w:pPr>
              <w:jc w:val="right"/>
              <w:ind w:right="290"/>
              <w:spacing w:after="0"/>
              <w:rPr>
                <w:sz w:val="20"/>
                <w:szCs w:val="20"/>
                <w:color w:val="auto"/>
              </w:rPr>
            </w:pPr>
            <w:r>
              <w:rPr>
                <w:rFonts w:ascii="Arial" w:cs="Arial" w:eastAsia="Arial" w:hAnsi="Arial"/>
                <w:sz w:val="18"/>
                <w:szCs w:val="18"/>
                <w:color w:val="auto"/>
              </w:rPr>
              <w:t>August 31, 2022</w:t>
            </w:r>
          </w:p>
        </w:tc>
      </w:tr>
      <w:tr>
        <w:trPr>
          <w:trHeight w:val="223"/>
        </w:trPr>
        <w:tc>
          <w:tcPr>
            <w:tcW w:w="7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investment activity</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w:t>
            </w:r>
          </w:p>
        </w:tc>
      </w:tr>
      <w:tr>
        <w:trPr>
          <w:trHeight w:val="229"/>
        </w:trPr>
        <w:tc>
          <w:tcPr>
            <w:tcW w:w="7180" w:type="dxa"/>
            <w:vAlign w:val="bottom"/>
          </w:tcPr>
          <w:p>
            <w:pPr>
              <w:ind w:left="20"/>
              <w:spacing w:after="0"/>
              <w:rPr>
                <w:sz w:val="20"/>
                <w:szCs w:val="20"/>
                <w:color w:val="auto"/>
              </w:rPr>
            </w:pPr>
            <w:r>
              <w:rPr>
                <w:rFonts w:ascii="Arial" w:cs="Arial" w:eastAsia="Arial" w:hAnsi="Arial"/>
                <w:sz w:val="18"/>
                <w:szCs w:val="18"/>
                <w:color w:val="auto"/>
              </w:rPr>
              <w:t>Purchases of property and equipment</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(3,181)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(3,086)</w:t>
            </w: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 for acquisitions, net of cash acquired</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(355,250)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180" w:type="dxa"/>
            <w:vAlign w:val="bottom"/>
          </w:tcPr>
          <w:p>
            <w:pPr>
              <w:ind w:left="20"/>
              <w:spacing w:after="0"/>
              <w:rPr>
                <w:sz w:val="20"/>
                <w:szCs w:val="20"/>
                <w:color w:val="auto"/>
              </w:rPr>
            </w:pPr>
            <w:r>
              <w:rPr>
                <w:rFonts w:ascii="Arial" w:cs="Arial" w:eastAsia="Arial" w:hAnsi="Arial"/>
                <w:sz w:val="18"/>
                <w:szCs w:val="18"/>
                <w:color w:val="auto"/>
              </w:rPr>
              <w:t>Proceeds from sale of long-lived assets, net</w:t>
            </w:r>
          </w:p>
        </w:tc>
        <w:tc>
          <w:tcPr>
            <w:tcW w:w="260" w:type="dxa"/>
            <w:vAlign w:val="bottom"/>
          </w:tcPr>
          <w:p>
            <w:pPr>
              <w:spacing w:after="0"/>
              <w:rPr>
                <w:sz w:val="19"/>
                <w:szCs w:val="19"/>
                <w:color w:val="auto"/>
              </w:rPr>
            </w:pPr>
          </w:p>
        </w:tc>
        <w:tc>
          <w:tcPr>
            <w:tcW w:w="1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25,998</w:t>
            </w: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investing activities</w:t>
            </w:r>
          </w:p>
        </w:tc>
        <w:tc>
          <w:tcPr>
            <w:tcW w:w="26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r>
      <w:tr>
        <w:trPr>
          <w:trHeight w:val="223"/>
        </w:trPr>
        <w:tc>
          <w:tcPr>
            <w:tcW w:w="7180" w:type="dxa"/>
            <w:vAlign w:val="bottom"/>
          </w:tcPr>
          <w:p>
            <w:pPr>
              <w:ind w:left="20"/>
              <w:spacing w:after="0"/>
              <w:rPr>
                <w:sz w:val="20"/>
                <w:szCs w:val="20"/>
                <w:color w:val="auto"/>
              </w:rPr>
            </w:pPr>
            <w:r>
              <w:rPr>
                <w:rFonts w:ascii="Arial" w:cs="Arial" w:eastAsia="Arial" w:hAnsi="Arial"/>
                <w:sz w:val="18"/>
                <w:szCs w:val="18"/>
                <w:color w:val="auto"/>
              </w:rPr>
              <w:t>Net cash flows (used in) from investing activities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(357,993)</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24,246</w:t>
            </w:r>
          </w:p>
        </w:tc>
      </w:tr>
      <w:tr>
        <w:trPr>
          <w:trHeight w:val="20"/>
        </w:trPr>
        <w:tc>
          <w:tcPr>
            <w:tcW w:w="7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Net cash outflows and inflows of our net investment activity are generally a result of the timing of our purchases and maturities of securities, which are classified as cash equivalents or short-term securities. In the first nine months of fiscal year 2023, we had payments for acquisitions net of cash acquired of $355.3 million. We also purchased $3.2 million of property and equipment in the first nine months of fiscal year 2023, as compared to $3.1 million in the first nine months of fiscal year 2022. In the second quarter of fiscal year 2022 we received $26.0 million net proceeds from the sale of long-lived assets.</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0"/>
        </w:trPr>
        <w:tc>
          <w:tcPr>
            <w:tcW w:w="7180" w:type="dxa"/>
            <w:vAlign w:val="bottom"/>
          </w:tcPr>
          <w:p>
            <w:pPr>
              <w:spacing w:after="0"/>
              <w:rPr>
                <w:sz w:val="20"/>
                <w:szCs w:val="20"/>
                <w:color w:val="auto"/>
              </w:rPr>
            </w:pPr>
            <w:r>
              <w:rPr>
                <w:rFonts w:ascii="Arial" w:cs="Arial" w:eastAsia="Arial" w:hAnsi="Arial"/>
                <w:sz w:val="18"/>
                <w:szCs w:val="18"/>
                <w:i w:val="1"/>
                <w:iCs w:val="1"/>
                <w:color w:val="auto"/>
              </w:rPr>
              <w:t>Cash Flows From (Used in) Financing Activities</w:t>
            </w:r>
          </w:p>
        </w:tc>
        <w:tc>
          <w:tcPr>
            <w:tcW w:w="2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540"/>
        </w:trPr>
        <w:tc>
          <w:tcPr>
            <w:tcW w:w="71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4"/>
          </w:tcPr>
          <w:p>
            <w:pPr>
              <w:jc w:val="right"/>
              <w:ind w:right="1210"/>
              <w:spacing w:after="0"/>
              <w:rPr>
                <w:sz w:val="20"/>
                <w:szCs w:val="20"/>
                <w:color w:val="auto"/>
              </w:rPr>
            </w:pPr>
            <w:r>
              <w:rPr>
                <w:rFonts w:ascii="Arial" w:cs="Arial" w:eastAsia="Arial" w:hAnsi="Arial"/>
                <w:sz w:val="18"/>
                <w:szCs w:val="18"/>
                <w:color w:val="auto"/>
              </w:rPr>
              <w:t>Nine Months Ended</w:t>
            </w:r>
          </w:p>
        </w:tc>
      </w:tr>
      <w:tr>
        <w:trPr>
          <w:trHeight w:val="223"/>
        </w:trPr>
        <w:tc>
          <w:tcPr>
            <w:tcW w:w="71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Pr>
          <w:p>
            <w:pPr>
              <w:spacing w:after="0"/>
              <w:rPr>
                <w:sz w:val="19"/>
                <w:szCs w:val="19"/>
                <w:color w:val="auto"/>
              </w:rPr>
            </w:pPr>
          </w:p>
        </w:tc>
        <w:tc>
          <w:tcPr>
            <w:tcW w:w="1820" w:type="dxa"/>
            <w:vAlign w:val="bottom"/>
            <w:gridSpan w:val="2"/>
          </w:tcPr>
          <w:p>
            <w:pPr>
              <w:ind w:left="140"/>
              <w:spacing w:after="0"/>
              <w:rPr>
                <w:sz w:val="20"/>
                <w:szCs w:val="20"/>
                <w:color w:val="auto"/>
              </w:rPr>
            </w:pPr>
            <w:r>
              <w:rPr>
                <w:rFonts w:ascii="Arial" w:cs="Arial" w:eastAsia="Arial" w:hAnsi="Arial"/>
                <w:sz w:val="18"/>
                <w:szCs w:val="18"/>
                <w:color w:val="auto"/>
              </w:rPr>
              <w:t>August 31, 2023</w:t>
            </w:r>
          </w:p>
        </w:tc>
        <w:tc>
          <w:tcPr>
            <w:tcW w:w="260" w:type="dxa"/>
            <w:vAlign w:val="bottom"/>
          </w:tcPr>
          <w:p>
            <w:pPr>
              <w:spacing w:after="0"/>
              <w:rPr>
                <w:sz w:val="19"/>
                <w:szCs w:val="19"/>
                <w:color w:val="auto"/>
              </w:rPr>
            </w:pPr>
          </w:p>
        </w:tc>
        <w:tc>
          <w:tcPr>
            <w:tcW w:w="1720" w:type="dxa"/>
            <w:vAlign w:val="bottom"/>
          </w:tcPr>
          <w:p>
            <w:pPr>
              <w:jc w:val="right"/>
              <w:ind w:right="290"/>
              <w:spacing w:after="0"/>
              <w:rPr>
                <w:sz w:val="20"/>
                <w:szCs w:val="20"/>
                <w:color w:val="auto"/>
              </w:rPr>
            </w:pPr>
            <w:r>
              <w:rPr>
                <w:rFonts w:ascii="Arial" w:cs="Arial" w:eastAsia="Arial" w:hAnsi="Arial"/>
                <w:sz w:val="18"/>
                <w:szCs w:val="18"/>
                <w:color w:val="auto"/>
              </w:rPr>
              <w:t>August 31, 2022</w:t>
            </w:r>
          </w:p>
        </w:tc>
      </w:tr>
      <w:tr>
        <w:trPr>
          <w:trHeight w:val="223"/>
        </w:trPr>
        <w:tc>
          <w:tcPr>
            <w:tcW w:w="7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stock-based compensation plans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20,373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10,384</w:t>
            </w:r>
          </w:p>
        </w:tc>
      </w:tr>
      <w:tr>
        <w:trPr>
          <w:trHeight w:val="230"/>
        </w:trPr>
        <w:tc>
          <w:tcPr>
            <w:tcW w:w="7180" w:type="dxa"/>
            <w:vAlign w:val="bottom"/>
          </w:tcPr>
          <w:p>
            <w:pPr>
              <w:ind w:left="20"/>
              <w:spacing w:after="0"/>
              <w:rPr>
                <w:sz w:val="20"/>
                <w:szCs w:val="20"/>
                <w:color w:val="auto"/>
              </w:rPr>
            </w:pPr>
            <w:r>
              <w:rPr>
                <w:rFonts w:ascii="Arial" w:cs="Arial" w:eastAsia="Arial" w:hAnsi="Arial"/>
                <w:sz w:val="18"/>
                <w:szCs w:val="18"/>
                <w:color w:val="auto"/>
              </w:rPr>
              <w:t>Repurchases of common stock</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(75,524)</w:t>
            </w:r>
          </w:p>
        </w:tc>
      </w:tr>
      <w:tr>
        <w:trPr>
          <w:trHeight w:val="229"/>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the issuance of debt</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7,474</w:t>
            </w:r>
          </w:p>
        </w:tc>
      </w:tr>
      <w:tr>
        <w:trPr>
          <w:trHeight w:val="229"/>
        </w:trPr>
        <w:tc>
          <w:tcPr>
            <w:tcW w:w="7180" w:type="dxa"/>
            <w:vAlign w:val="bottom"/>
          </w:tcPr>
          <w:p>
            <w:pPr>
              <w:ind w:left="20"/>
              <w:spacing w:after="0"/>
              <w:rPr>
                <w:sz w:val="20"/>
                <w:szCs w:val="20"/>
                <w:color w:val="auto"/>
              </w:rPr>
            </w:pPr>
            <w:r>
              <w:rPr>
                <w:rFonts w:ascii="Arial" w:cs="Arial" w:eastAsia="Arial" w:hAnsi="Arial"/>
                <w:sz w:val="18"/>
                <w:szCs w:val="18"/>
                <w:color w:val="auto"/>
              </w:rPr>
              <w:t>Payment of debt issuance costs</w:t>
            </w:r>
          </w:p>
        </w:tc>
        <w:tc>
          <w:tcPr>
            <w:tcW w:w="260" w:type="dxa"/>
            <w:vAlign w:val="bottom"/>
          </w:tcPr>
          <w:p>
            <w:pPr>
              <w:spacing w:after="0"/>
              <w:rPr>
                <w:sz w:val="19"/>
                <w:szCs w:val="19"/>
                <w:color w:val="auto"/>
              </w:rPr>
            </w:pPr>
          </w:p>
        </w:tc>
        <w:tc>
          <w:tcPr>
            <w:tcW w:w="1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(1,957)</w:t>
            </w: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Repayment of revolving line of credit</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180" w:type="dxa"/>
            <w:vAlign w:val="bottom"/>
          </w:tcPr>
          <w:p>
            <w:pPr>
              <w:ind w:left="20"/>
              <w:spacing w:after="0"/>
              <w:rPr>
                <w:sz w:val="20"/>
                <w:szCs w:val="20"/>
                <w:color w:val="auto"/>
              </w:rPr>
            </w:pPr>
            <w:r>
              <w:rPr>
                <w:rFonts w:ascii="Arial" w:cs="Arial" w:eastAsia="Arial" w:hAnsi="Arial"/>
                <w:sz w:val="18"/>
                <w:szCs w:val="18"/>
                <w:color w:val="auto"/>
              </w:rPr>
              <w:t>Principal payment on term loan</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(5,157)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(5,154)</w:t>
            </w: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payments to stockholders</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(23,669)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(23,351)</w:t>
            </w:r>
          </w:p>
        </w:tc>
      </w:tr>
      <w:tr>
        <w:trPr>
          <w:trHeight w:val="229"/>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financing activities</w:t>
            </w: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(5,405)</w:t>
            </w:r>
          </w:p>
        </w:tc>
      </w:tr>
      <w:tr>
        <w:trPr>
          <w:trHeight w:val="248"/>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flows from (used in) financing activities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(93,533)</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During the first nine months of fiscal year 2023, we received $195.0 million in net proceeds from the issuance of debt to partially fund the acquisition of MarkLogic. During the first nine months of fiscal year 2022, we received $7.5 million in net proceeds from the issuance of debt in connection with our amended term loan. We received $20.4 million from the exercise of stock options and the issuance of shares under our employee stock purchase plan as compared to $10.4 million in the first nine months of fiscal year 2022. Further, we repurchased $30.0 million of our common stock under our share repurchase plan compared to $75.5 million in the same period of the prior year. We also made payments on our long-term debt of $60.2 million (including a $55.0 million repayment on the revolving line of credit) in the first nine months of fiscal year 2023 and $5.2 million in the same period in 2022. Finally, we made dividend payments of $23.7 million to our stockholders during the first nine months of fiscal year 2023 and $23.4 million in the first nine months of fiscal year 2022.</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 Outlook</w:t>
      </w:r>
    </w:p>
    <w:p>
      <w:pPr>
        <w:spacing w:after="0" w:line="25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Cash from operations in fiscal year 2023 could be affected by various risks and uncertainties, including, but not limited to, the effects of various risks detailed in Part I, Item 1A. Risk Factors in our 2022 Annual Report which have led to increased disruption and volatility in capital markets and credit markets that could adversely affect our liquidity and capital resources in the future. However, based on our current business plan, we believe that existing cash balances, together with funds generated from operations and amounts available under our Credit Facility, will be sufficient to finance our operations and meet our foreseeable cash requirements through at least the next twelve months. We do not contemplate a need for any foreign repatriation of the earnings which are deemed invested indefinitely outside of the U.S. Our foreseeable cash needs include capital expenditures, acquisitions, debt repayments, quarterly cash dividends, share repurchases, lease commitments, restructuring obligations and other long-term obligations.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Other Regulatory Matters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See discussion below in </w:t>
      </w:r>
      <w:r>
        <w:rPr>
          <w:rFonts w:ascii="Arial" w:cs="Arial" w:eastAsia="Arial" w:hAnsi="Arial"/>
          <w:sz w:val="17"/>
          <w:szCs w:val="17"/>
          <w:i w:val="1"/>
          <w:iCs w:val="1"/>
          <w:color w:val="auto"/>
        </w:rPr>
        <w:t>Recent Developments: MOVEit Vulnerability</w:t>
      </w:r>
      <w:r>
        <w:rPr>
          <w:rFonts w:ascii="Arial" w:cs="Arial" w:eastAsia="Arial" w:hAnsi="Arial"/>
          <w:sz w:val="17"/>
          <w:szCs w:val="17"/>
          <w:color w:val="auto"/>
        </w:rPr>
        <w:t xml:space="preserve"> for a discussion of the legal proceedings related to the MOVEit Vulnerability.</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1 - Nature of Business and Basis of Presentation (Part I, Item 1 of this Form 10-Q) for further discussion.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 MOVEit Vulnerability</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 of Event</w:t>
      </w:r>
    </w:p>
    <w:p>
      <w:pPr>
        <w:spacing w:after="0" w:line="239"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As disclosed via a Form 8-K filed on June 5, 2023, on the evening of May 28, 2023 (Eastern Time), our MOVEit technical support team received an initial customer support call indicating unusual activity within their MOVEit Transfer instance. An investigative team was mobilized and, on May 30, 2023, the investigative team discovered a zero-day vulnerability in MOVEit Transfer (including our cloud-hosted version of MOVEit Transfer known as MOVEit Cloud). The investigative team determined the zero-day vulnerability (the “MOVEit Vulnerability”) could provide for unauthorized escalated privileges and access to the customer’s underlying environment in both MOVEit Transfer (the on-premise version) and MOVEit Cloud (a cloud-hosted version of MOVEit Transfer that we deploy in both (i) a public cloud format, as well as, (ii) for a small group of</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32" w:name="page33"/>
    <w:bookmarkEnd w:id="32"/>
    <w:p>
      <w:pPr>
        <w:ind w:right="160"/>
        <w:spacing w:after="0" w:line="241" w:lineRule="auto"/>
        <w:rPr>
          <w:sz w:val="20"/>
          <w:szCs w:val="20"/>
          <w:color w:val="auto"/>
        </w:rPr>
      </w:pPr>
      <w:r>
        <w:rPr>
          <w:rFonts w:ascii="Arial" w:cs="Arial" w:eastAsia="Arial" w:hAnsi="Arial"/>
          <w:sz w:val="18"/>
          <w:szCs w:val="18"/>
          <w:color w:val="auto"/>
        </w:rPr>
        <w:t>customers, in customer-dedicated cloud instances that are hosted, separate and apart from the public instances of our MOVEit Cloud platform). We promptly took down MOVEit Cloud for further investigation and notified all then-known current and former MOVEit Transfer and MOVEit Cloud customers in order to apprise them of the MOVEit Vulnerability and alert them to immediate remedial actions. In parallel, our team developed a patch for all supported versions of MOVEit Transfer and MOVEit Cloud, which was released on May 31, 2023, and allowed for the restoration of MOVEit Cloud that same day.</w:t>
      </w:r>
    </w:p>
    <w:p>
      <w:pPr>
        <w:spacing w:after="0" w:line="21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MOVEit Transfer is a secure file-transfer software that is installed by customers on-premise and does not have any on-going telemetry after installation that allows us to track, among other things, a customer’s product usage, deployed version, file transfer activity (including any data that is transferred by or stored within the customer’s MOVEit Transfer instance), or whether the customer has applied any security patches or bug fixes to their MOVEit Transfer instance. However, certain MOVEit Transfer customers have reported that malicious threat actors have exploited the MOVEit Vulnerability to obtain access to their environments and portions of their sensitive customer data.</w:t>
      </w:r>
    </w:p>
    <w:p>
      <w:pPr>
        <w:spacing w:after="0" w:line="216" w:lineRule="exact"/>
        <w:rPr>
          <w:sz w:val="20"/>
          <w:szCs w:val="20"/>
          <w:color w:val="auto"/>
        </w:rPr>
      </w:pPr>
    </w:p>
    <w:p>
      <w:pPr>
        <w:ind w:right="100"/>
        <w:spacing w:after="0" w:line="279" w:lineRule="auto"/>
        <w:rPr>
          <w:sz w:val="20"/>
          <w:szCs w:val="20"/>
          <w:color w:val="auto"/>
        </w:rPr>
      </w:pPr>
      <w:r>
        <w:rPr>
          <w:rFonts w:ascii="Arial" w:cs="Arial" w:eastAsia="Arial" w:hAnsi="Arial"/>
          <w:sz w:val="16"/>
          <w:szCs w:val="16"/>
          <w:color w:val="auto"/>
        </w:rPr>
        <w:t>Furthermore, we currently have not seen any evidence that sensitive customer data has been exfiltrated from the public MOVEit Cloud instances. For a small group of customers, we provide dedicated MOVEit Cloud instances that are hosted, for each such customer, separate and apart from the public instances of our MOVEit Cloud platform. Two of our dedicated MOVEit Cloud customers have reported that malicious threat actors have exploited the MOVEit Vulnerability to obtain access to their dedicated MOVEit Cloud environment. As of the date of the filing of this report on Form 10-Q, one such customer has confirmed that no sensitive data was compromised and the other has reported that certain personally identifiable information was exfiltrated.</w:t>
      </w:r>
    </w:p>
    <w:p>
      <w:pPr>
        <w:spacing w:after="0" w:line="186" w:lineRule="exact"/>
        <w:rPr>
          <w:sz w:val="20"/>
          <w:szCs w:val="20"/>
          <w:color w:val="auto"/>
        </w:rPr>
      </w:pPr>
    </w:p>
    <w:p>
      <w:pPr>
        <w:ind w:right="380"/>
        <w:spacing w:after="0" w:line="284" w:lineRule="auto"/>
        <w:rPr>
          <w:sz w:val="20"/>
          <w:szCs w:val="20"/>
          <w:color w:val="auto"/>
        </w:rPr>
      </w:pPr>
      <w:r>
        <w:rPr>
          <w:rFonts w:ascii="Arial" w:cs="Arial" w:eastAsia="Arial" w:hAnsi="Arial"/>
          <w:sz w:val="16"/>
          <w:szCs w:val="16"/>
          <w:color w:val="auto"/>
        </w:rPr>
        <w:t>Since our disclosures regarding the MOVEit Vulnerability, various third-parties have been actively scrutinizing MOVEit Transfer and MOVEit Cloud, leading to the discovery and our prompt patching of additional vulnerabilities. We are currently not aware of any evidence that these additional vulnerabilities were exploited by malicious threat actors prior to creating patches to address them and making those patches available to our MOVEit Transfer customers and applying those patches to the MOVEit Cloud environments – both the public and dedicated cloud instances.</w:t>
      </w:r>
    </w:p>
    <w:p>
      <w:pPr>
        <w:spacing w:after="0" w:line="182"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Progress has remained fully operational at all times before and after the discovery of the MOVEit Vulnerability and, as of the time of the filing of this report on Form 10-Q, has not uncovered evidence of unauthorized activity in Progress' corporate environment or impact to products beyond MOVEit Transfer and MOVEit Cloud related to this attack. MOVEit Transfer and MOVEit Cloud represented less than 4% in aggregate of the Company’s revenue for the nine months ended August 31, 2023.</w:t>
      </w:r>
    </w:p>
    <w:p>
      <w:pPr>
        <w:spacing w:after="0" w:line="218" w:lineRule="exact"/>
        <w:rPr>
          <w:sz w:val="20"/>
          <w:szCs w:val="20"/>
          <w:color w:val="auto"/>
        </w:rPr>
      </w:pPr>
    </w:p>
    <w:p>
      <w:pPr>
        <w:ind w:right="320"/>
        <w:spacing w:after="0" w:line="276" w:lineRule="auto"/>
        <w:rPr>
          <w:sz w:val="20"/>
          <w:szCs w:val="20"/>
          <w:color w:val="auto"/>
        </w:rPr>
      </w:pPr>
      <w:r>
        <w:rPr>
          <w:rFonts w:ascii="Arial" w:cs="Arial" w:eastAsia="Arial" w:hAnsi="Arial"/>
          <w:sz w:val="16"/>
          <w:szCs w:val="16"/>
          <w:color w:val="auto"/>
        </w:rPr>
        <w:t>Progress engaged outside cybersecurity experts and other incident response professionals to conduct a forensic investigation and assess the extent and scope of the MOVEit Vulnerability. The Company (i) has and is continuing to implement a series of additional security and related measures aimed at addressing the MOVEit Vulnerability and subsequently discovered vulnerabilities and further strengthening the overall security of our MOVEit applications, (ii) has engaged outside legal counsel to conduct a thorough independent investigation of the MOVEit Vulnerability, and (iii) has engaged with federal law enforcement and other federal agencies with respect to the MOVEit Vulnerability. As our fact-gathering investigation and litigation response continues, we will continue to assess the potential impact of the MOVEit Vulnerability on our business, operations, and financial results.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 Incurred and Amounts Accrued</w:t>
      </w:r>
    </w:p>
    <w:p>
      <w:pPr>
        <w:spacing w:after="0" w:line="239"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For the three and nine months ended August 31, 2023, we incurred $1.0 million of costs related to the MOVEit Vulnerability. Costs are provided net of received and expected insurance recoveries of approximately $1.9 million, which was recognized during the third quarter of fiscal year 2023. The timing of recognizing insurance recoveries may differ from the timing of recognizing the associated expenses.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Costs</w:t>
      </w:r>
    </w:p>
    <w:p>
      <w:pPr>
        <w:spacing w:after="0" w:line="239" w:lineRule="exact"/>
        <w:rPr>
          <w:sz w:val="20"/>
          <w:szCs w:val="20"/>
          <w:color w:val="auto"/>
        </w:rPr>
      </w:pPr>
    </w:p>
    <w:p>
      <w:pPr>
        <w:ind w:right="180"/>
        <w:spacing w:after="0" w:line="241" w:lineRule="auto"/>
        <w:rPr>
          <w:sz w:val="20"/>
          <w:szCs w:val="20"/>
          <w:color w:val="auto"/>
        </w:rPr>
      </w:pPr>
      <w:r>
        <w:rPr>
          <w:rFonts w:ascii="Arial" w:cs="Arial" w:eastAsia="Arial" w:hAnsi="Arial"/>
          <w:sz w:val="18"/>
          <w:szCs w:val="18"/>
          <w:color w:val="auto"/>
        </w:rPr>
        <w:t>We expect to incur investigation, legal and professional services expenses associated with the MOVEit Vulnerability in future periods. We will recognize these expenses as services are received, net of received and expected insurance recoveries. Our financial liability arising from any of the foregoing will depend on many factors, including limitations contained within our customer contracts, the amount of private litigation, and the number and extent of formal government investigations into the matter, therefore it is not possible at this time to estimate the quantitative impact of any such liability with any reasonable degree of certainty.</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33" w:name="page34"/>
    <w:bookmarkEnd w:id="33"/>
    <w:p>
      <w:pPr>
        <w:spacing w:after="0"/>
        <w:rPr>
          <w:sz w:val="20"/>
          <w:szCs w:val="20"/>
          <w:color w:val="auto"/>
        </w:rPr>
      </w:pPr>
      <w:r>
        <w:rPr>
          <w:rFonts w:ascii="Arial" w:cs="Arial" w:eastAsia="Arial" w:hAnsi="Arial"/>
          <w:sz w:val="18"/>
          <w:szCs w:val="18"/>
          <w:i w:val="1"/>
          <w:iCs w:val="1"/>
          <w:color w:val="auto"/>
        </w:rPr>
        <w:t>Insurance Coverage</w:t>
      </w:r>
    </w:p>
    <w:p>
      <w:pPr>
        <w:spacing w:after="0" w:line="239"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During the period when the November 2022 cyber incident and the MOVEit Vulnerability occurred, we maintained $15.0 million of cybersecurity insurance coverage, which is expected to reduce our exposure to expenses and liabilities arising from these events. As of August 31, 2023, we have recorded approximately $4.9 million in insurance recoveries, of which, $3.0 million was related to the November 2022 cyber incident and $1.9 million was related to the MOVEit Vulnerability, providing us with $10.1 million of additional cybersecurity insurance coverage (which is subject to a $0.5 million retention per claim). We will pursue recoveries to the maximum extent available under our insurance policies.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Capital Investments</w:t>
      </w:r>
    </w:p>
    <w:p>
      <w:pPr>
        <w:spacing w:after="0" w:line="225" w:lineRule="exact"/>
        <w:rPr>
          <w:sz w:val="20"/>
          <w:szCs w:val="20"/>
          <w:color w:val="auto"/>
        </w:rPr>
      </w:pPr>
    </w:p>
    <w:p>
      <w:pPr>
        <w:ind w:right="440"/>
        <w:spacing w:after="0" w:line="324" w:lineRule="auto"/>
        <w:rPr>
          <w:sz w:val="20"/>
          <w:szCs w:val="20"/>
          <w:color w:val="auto"/>
        </w:rPr>
      </w:pPr>
      <w:r>
        <w:rPr>
          <w:rFonts w:ascii="Arial" w:cs="Arial" w:eastAsia="Arial" w:hAnsi="Arial"/>
          <w:sz w:val="16"/>
          <w:szCs w:val="16"/>
          <w:color w:val="auto"/>
        </w:rPr>
        <w:t>In addition, we may accelerate or make additional investments in our information technology systems, but we are unable to estimate such investments because the nature and scope has not yet been determined. We currently do not expect such amounts to be material to any fiscal period.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 on Sales and Customer Loyalty</w:t>
      </w:r>
    </w:p>
    <w:p>
      <w:pPr>
        <w:spacing w:after="0" w:line="23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MOVEit Vulnerability may adversely affect our future performance and financial results. Customer confidence in Progress may also be impacted by the MOVEit Vulnerability. Through our response speed and transparent communications, we are committed to, and actively engaged in, activities to restore any loss in customer confidence. However, we currently cannot predict the length or extent of any ongoing impact to sales.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 and Governmental Investigations</w:t>
      </w:r>
    </w:p>
    <w:p>
      <w:pPr>
        <w:spacing w:after="0" w:line="239"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color w:val="auto"/>
        </w:rPr>
        <w:t>As of the date of the filing of this report on Form 10-Q, (i) we have received formal letters from 23 customers and others that claim to have been impacted by the MOVEit Vulnerability, some of which have indicated that they intend to seek indemnification from us related to the MOVEit Vulnerability, (ii) we have received a letter from an insurer providing notice of a subrogation claim (where the insurer is seeking recovery for all expenses incurred in connection with the MOVEit Vulnerability), and (iii) we are party to 58 class action lawsuits filed by individuals who claim to have been impacted by exfiltration of data from the environments of our MOVEit Transfer customers (on October 4, 2023, the Judicial Panel on Multidistrict Litigation issued an order consolidating litigation relating to the MOVEit Vulnerability where we are a party in the United States District Court, District of Massachusetts).</w:t>
      </w:r>
    </w:p>
    <w:p>
      <w:pPr>
        <w:spacing w:after="0" w:line="16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We have also been cooperating with several inquiries from domestic and foreign data privacy regulators, inquiries from several state attorneys general, as well as formal investigations from: (i) a U.S. federal law enforcement agency (as of the date of the filing of this report, the law enforcement investigation that we are cooperating with is not an enforcement action or formal governmental investigation of which we have been told that we are a target), and (ii) the SEC (as further described hereafter). On October 2, 2023, Progress received a subpoena from the SEC seeking various documents and information</w:t>
      </w:r>
    </w:p>
    <w:p>
      <w:pPr>
        <w:jc w:val="both"/>
        <w:spacing w:after="0" w:line="220" w:lineRule="auto"/>
        <w:rPr>
          <w:sz w:val="20"/>
          <w:szCs w:val="20"/>
          <w:color w:val="auto"/>
        </w:rPr>
      </w:pPr>
      <w:r>
        <w:rPr>
          <w:rFonts w:ascii="Arial" w:cs="Arial" w:eastAsia="Arial" w:hAnsi="Arial"/>
          <w:sz w:val="16"/>
          <w:szCs w:val="16"/>
          <w:color w:val="auto"/>
        </w:rPr>
        <w:t>relating to the MOVEit Vulnerability. As described in the cover letter accompanying the subpoena, at this stage, the SEC investigation is a fact-finding inquiry, the investigation does not mean that Progress or anyone else has violated federal securities laws, and the investigation does not mean that the SEC</w:t>
      </w:r>
    </w:p>
    <w:p>
      <w:pPr>
        <w:spacing w:after="0"/>
        <w:rPr>
          <w:sz w:val="20"/>
          <w:szCs w:val="20"/>
          <w:color w:val="auto"/>
        </w:rPr>
      </w:pPr>
      <w:r>
        <w:rPr>
          <w:rFonts w:ascii="Arial" w:cs="Arial" w:eastAsia="Arial" w:hAnsi="Arial"/>
          <w:sz w:val="18"/>
          <w:szCs w:val="18"/>
          <w:color w:val="auto"/>
        </w:rPr>
        <w:t>has a negative opinion of any person, entity, or security. Progress intends to cooperate fully with the SEC in its investigation.</w:t>
      </w:r>
    </w:p>
    <w:p>
      <w:pPr>
        <w:spacing w:after="0" w:line="209"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auto"/>
        </w:rPr>
        <w:t>Such claims and investigations may have an adverse effect on how we operate our business and our results of operations, and in the future, we may be subject to additional governmental or regulatory investigations, as well as additional litigation or indemnification claims. While a loss from these matters is possible, we cannot reasonably estimate a range of possible losses at this time, particularly while the foregoing matters are pending and our fact-gathering investigation into the matter is ongoing. Furthermore, with respect to the litigation, the proceedings remain in the early stages, alleged damages have not been specified, there is uncertainty as to the likelihood of a class or classes being certified or the ultimate size of any class if certified, and there are significant factual and legal issues to be resolved. Also, each of the governmental inquiries and investigations mentioned above could result in adverse judgements, settlements, fines, penalties, or other resolutions, the amount, scope and timing of which could be material, but which we are currently unable to predict. As such, we have not recorded a loss contingency liability for litigation, claims and governmental investigations in the second quarter. See Note 15 to Consolidated Financial Statements included in Item 1, Financial Statements.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During the first nine months of fiscal year 2023, with the exception of drawing down (and subsequent repayments) on our revolving line of credit as described in Note 7, there were no significant changes to our quantitative and qualitative disclosures about market risk. Please refer to Part II, Item 7A. Quantitative and Qualitative Disclosures about Market Risk included in our 2022 Annual Report, for a more complete discussion of the market risks we encounter.</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Evaluation of disclosure controls and procedures</w:t>
      </w:r>
    </w:p>
    <w:p>
      <w:pPr>
        <w:spacing w:after="0" w:line="256"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Our management maintains disclosure controls and procedures as defined in Rule 13a-15(e) and 15d-15(e) under the Securities and Exchange Act of 1934, as amended (the "Exchange Act") that are designed to provide reasonable assurance that information required to be disclosed in our reports filed or submitted under the Exchange Act is processed, recorded, summarized and reported within the time periods specified in the SEC's rules and forms, and that such information is accumulated and communicated to management, including our Chief Executive Officer and Chief Financial Officer (our principal executive officer and principal financial officer, respectively), as appropriate, to allow for timely decisions regarding required disclosure.</w:t>
      </w:r>
    </w:p>
    <w:p>
      <w:pPr>
        <w:spacing w:after="0" w:line="20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management, including our Chief Executive Officer and Chief Financial Officer, carried out an evaluation of the effectiveness of our disclosure controls and procedures as of the end of the period covered by this report. Based on this evaluation, our Chief Executive Officer and Chief Financial Officer concluded that our disclosure controls and procedures were effective to ensure that the information required to be disclosed in the reports filed or submitted by us under the Exchange Act was recorded, processed, summarized and reported within the requisite time periods and that such information was accumulated and communicated to our management, including our Chief Executive Officer and Chief Financial Officer, as appropriate to allow for timely decisions regarding required disclosure.</w:t>
      </w:r>
    </w:p>
    <w:p>
      <w:pPr>
        <w:spacing w:after="0" w:line="219"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The Company acquired MarkLogic on February 7, 2023. Management excluded MarkLogic from its assessment of the effectiveness of the Company’s disclosure controls as of August 31, 2023. MarkLogic represented, in aggregate, approximately 15% of the Company’s total consolidated assets (excluding goodwill and intangibles) and approximately 12% of total consolidated revenues, as of and for the three months ended August 31, 2023.</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Changes in internal control over financial reporting</w:t>
      </w:r>
    </w:p>
    <w:p>
      <w:pPr>
        <w:spacing w:after="0" w:line="25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fiscal quarter ended August 31, 2023 that have materially affected, or are reasonably likely to materially affect our internal control over financial reporting.</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43"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 xml:space="preserve">Please see </w:t>
      </w:r>
      <w:r>
        <w:rPr>
          <w:rFonts w:ascii="Arial" w:cs="Arial" w:eastAsia="Arial" w:hAnsi="Arial"/>
          <w:sz w:val="18"/>
          <w:szCs w:val="18"/>
          <w:i w:val="1"/>
          <w:iCs w:val="1"/>
          <w:color w:val="auto"/>
        </w:rPr>
        <w:t>Management’s Discussion and Analysis of Financial Condition and Results of Operations in Part I, Item 2 – Recent Developments: MOVEit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Vulnerability </w:t>
      </w:r>
      <w:r>
        <w:rPr>
          <w:rFonts w:ascii="Arial" w:cs="Arial" w:eastAsia="Arial" w:hAnsi="Arial"/>
          <w:sz w:val="18"/>
          <w:szCs w:val="18"/>
          <w:color w:val="auto"/>
        </w:rPr>
        <w:t>for a discussion of legal proceedings related to the MOVEit Vulnerability.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We operate in a rapidly changing environment that involves certain risks and uncertainties, some of which are beyond our control. In addition to the updated risk factors provided below, please refer to Part I, Item 1A. Risk Factors in our 2022 Annual Report for a more complete discussion regarding certain factors that could materially affect our business, financial condition or future results.</w:t>
      </w:r>
    </w:p>
    <w:p>
      <w:pPr>
        <w:spacing w:after="0" w:line="197" w:lineRule="exact"/>
        <w:rPr>
          <w:sz w:val="20"/>
          <w:szCs w:val="20"/>
          <w:color w:val="auto"/>
        </w:rPr>
      </w:pPr>
    </w:p>
    <w:p>
      <w:pPr>
        <w:ind w:right="20"/>
        <w:spacing w:after="0" w:line="267" w:lineRule="auto"/>
        <w:rPr>
          <w:sz w:val="20"/>
          <w:szCs w:val="20"/>
          <w:color w:val="auto"/>
        </w:rPr>
      </w:pPr>
      <w:r>
        <w:rPr>
          <w:rFonts w:ascii="Arial" w:cs="Arial" w:eastAsia="Arial" w:hAnsi="Arial"/>
          <w:sz w:val="16"/>
          <w:szCs w:val="16"/>
          <w:b w:val="1"/>
          <w:bCs w:val="1"/>
          <w:i w:val="1"/>
          <w:iCs w:val="1"/>
          <w:color w:val="auto"/>
        </w:rPr>
        <w:t xml:space="preserve">If our products contain software defects or security flaws, it could harm our revenues by causing us to lose customers and could increase our liabilities by exposing us to costly governmental investigations or litigation. For example, the exploitation of the zero-day MOVEit Vulnerability in May 2023 has resulted in government inquiries, two formal government investigations, and private litigation. </w:t>
      </w:r>
      <w:r>
        <w:rPr>
          <w:rFonts w:ascii="Arial" w:cs="Arial" w:eastAsia="Arial" w:hAnsi="Arial"/>
          <w:sz w:val="16"/>
          <w:szCs w:val="16"/>
          <w:color w:val="auto"/>
        </w:rPr>
        <w:t>Our products, despite extensive testing and quality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control, may, and at times do, contain defects, vulnerabilities or security flaws. In the ordinary course of business, we may need to issue corrective releases of our software products to fix any defects, vulnerabilities, or security flaws. Depending upon the severity of any such matters, the detection and correction of such matters can be time consuming and costly. If any such issues are exploited by malicious threat actors, we could experience, among other things, material adverse impact to our revenues due to loss of customers and increased liabilities due to costly governmental investigations or litigation. In addition, any such matters could affect the ability of our products to work with hardware or other software products, delay the development or release of new products or new versions of products (due to a reallocation of our internal resources), and/or adversely affect market acceptance of our products, all of which could have a material adverse effect on our operating results and cash flows. For example, we recently released patches for vulnerabilities affecting WS_FTP, one of our file-transfer products that is deployed on-premise in our customers’ environments. Notwithstanding our efforts to promptly patch such vulnerabilities and encourage customers to deploy the patch as quickly as possible, we do not have telemetry into our WS_FTP customers’ environments or control over their patching activity, and there have been reports of exploitation of these vulnerabilities following the release of our security patches. We continue to monitor the situation and assess the potential impact of the WS_FTP vulnerabilities on our business, operations, and financial results. As of August 31, 2023, WS_FTP accounted for less than 1% of our annual gross revenue.</w:t>
      </w:r>
    </w:p>
    <w:p>
      <w:pPr>
        <w:spacing w:after="0" w:line="197"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As disclosed via a Form 8-K filed on June 5, 2023, on the evening of May 28, 2023 (Eastern Time), our MOVEit technical support team received an initial customer support call indicating unusual activity within their MOVEit Transfer instance. An investigative team was mobilized and, on May 30, 2023, the investigative team discovered a zero-day vulnerability in MOVEit Transfer (including our cloud-hosted version of MOVEit Transfer known as MOVEit Cloud). The investigative team determined the zero-day vulnerability (the “MOVEit Vulnerability”) could provide for unauthorized escalated privileges and access to the customer’s underlying environment in both MOVEit Transfer (the on-premise version) and MOVEit Cloud (a cloud-hosted version of MOVEit Transfer that we deploy in both (i) a public cloud format, as well as (ii) for a small group of customers, in customer-dedicated cloud instances that are hosted, separate and apart from the public instances of our MOVEit Cloud platform). We promptly took down MOVEit Cloud for further investigation and notified all then-known current and former MOVEit Transfer and MOVEit Cloud customers in order to apprise them of the MOVEit Vulnerability and alert them to immediate remedial actions. In parallel, our team developed a patch for all supported versions of MOVEit Transfer and MOVEit Cloud, which was released on May 31, 2023, and allowed for the restoration of MOVEit Cloud that same day.</w:t>
      </w:r>
    </w:p>
    <w:p>
      <w:pPr>
        <w:spacing w:after="0" w:line="210"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MOVEit Transfer is a secure file-transfer software that is installed by customers on-premise and does not have any on-going telemetry after installation that allows us to track, among other things, a customer’s product usage, deployed version, file transfer activity (including any data that is transferred by or stored within the customer’s MOVEit Transfer instance), or whether the customer has applied any security patches or bug fixes to their MOVEit Transfer instance. However, certain MOVEit Transfer customers have reported that malicious threat actors have exploited the MOVEit Vulnerability to obtain access to their environments and portions of their sensitive customer data.</w:t>
      </w:r>
    </w:p>
    <w:p>
      <w:pPr>
        <w:spacing w:after="0" w:line="216" w:lineRule="exact"/>
        <w:rPr>
          <w:sz w:val="20"/>
          <w:szCs w:val="20"/>
          <w:color w:val="auto"/>
        </w:rPr>
      </w:pPr>
    </w:p>
    <w:p>
      <w:pPr>
        <w:ind w:right="220"/>
        <w:spacing w:after="0" w:line="274" w:lineRule="auto"/>
        <w:rPr>
          <w:sz w:val="20"/>
          <w:szCs w:val="20"/>
          <w:color w:val="auto"/>
        </w:rPr>
      </w:pPr>
      <w:r>
        <w:rPr>
          <w:rFonts w:ascii="Arial" w:cs="Arial" w:eastAsia="Arial" w:hAnsi="Arial"/>
          <w:sz w:val="16"/>
          <w:szCs w:val="16"/>
          <w:color w:val="auto"/>
        </w:rPr>
        <w:t>We currently have not seen any evidence that sensitive customer data has been exfiltrated from the public MOVEit Cloud instances. For a small group of customers, we provide dedicated MOVEit Cloud instances that are hosted, for each such customer, separate and apart from the public instances of our MOVEit Cloud platform. Two of our dedicated MOVEit Cloud customers have reported that malicious threat actors have exploited the MOVEit Vulnerability to obtain access to their dedicated MOVEit Cloud environment. As of the date of the filing of this report on Form 10-Q, one such customer has confirmed that no sensitive data was compromised and the other has reported that certain personally identifiable information was exfiltrated.</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6" w:name="page37"/>
    <w:bookmarkEnd w:id="36"/>
    <w:p>
      <w:pPr>
        <w:ind w:right="80"/>
        <w:spacing w:after="0" w:line="251" w:lineRule="auto"/>
        <w:rPr>
          <w:sz w:val="20"/>
          <w:szCs w:val="20"/>
          <w:color w:val="auto"/>
        </w:rPr>
      </w:pPr>
      <w:r>
        <w:rPr>
          <w:rFonts w:ascii="Arial" w:cs="Arial" w:eastAsia="Arial" w:hAnsi="Arial"/>
          <w:sz w:val="17"/>
          <w:szCs w:val="17"/>
          <w:color w:val="auto"/>
        </w:rPr>
        <w:t>These events have led to several inquiries from domestic and foreign data privacy regulators; inquiries from several state attorneys general; formal investigations from: (i) a U.S. federal law enforcement agency (as of the date of the filing of this report, the law enforcement investigation that we are cooperating with is not an enforcement action or formal governmental investigation of which we have been told that we are a target), and (ii) the SEC (as further described hereafter); and private litigation; all of which could have adverse impacts on our business and operations and the results thereof. More specifically, as of the date of the filing of this report on Form 10-Q, (i) we have received formal letters from 23 customers and others that claim to have been impacted by the MOVEit Vulnerability, some of which have indicated that they intend to seek indemnification from us related to the MOVEit Vulnerability, (ii) we have received a letter from an insurer providing notice of a subrogation claim (where the insurer is seeking recovery for all expenses incurred in connection with the MOVEit Vulnerability), and (iii) we are party to 58 class action lawsuits filed by individuals who claim to have been impacted by exfiltration of data from the environments of our MOVEit Transfer customers (on October 4, 2023, the Judicial Panel on Multidistrict Litigation issued an order consolidating litigation relating to the MOVEit Vulnerability where we are a party in the United States District Court, District of Massachusetts).</w:t>
      </w:r>
    </w:p>
    <w:p>
      <w:pPr>
        <w:spacing w:after="0" w:line="208"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On October 2, 2023, Progress received a subpoena from the SEC seeking various documents and information relating to the MOVEit Vulnerability. As described in the cover letter accompanying the subpoena, at this stage, the SEC investigation is a fact-finding inquiry, the investigation does not mean that Progress or anyone else has violated federal securities laws, and the investigation does not mean that the SEC has a negative opinion of any person, entity, or security. Progress intends to cooperate fully with the SEC in its investigation.</w:t>
      </w:r>
    </w:p>
    <w:p>
      <w:pPr>
        <w:spacing w:after="0" w:line="228"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Such claims and investigations may have an adverse effect on how we operate our business and our results of operations, and in the future, we may be subject to additional governmental or regulatory investigations, as well as additional litigation or indemnification claims. Following the discovery of the MOVEit Vulnerability and the various remedial actions described here, we have discovered and patched additional vulnerabilities within the MOVEit Transfer and MOVEit Cloud platforms. While we are currently not aware of any evidence that these additional vulnerabilities were exploited by malicious threat actors, we cannot guarantee that we have or will uncover and/or address all vulnerabilities within the MOVEit platform or any of our other products prior to exploitation by threat actors.</w:t>
      </w:r>
    </w:p>
    <w:p>
      <w:pPr>
        <w:spacing w:after="0" w:line="21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Our financial liability arising from any of the foregoing will depend on many factors, including the extent to which governmental entities investigate the matter and limitations contained within our customer contracts; therefore, we are unable at this time to estimate the quantitative impact of any such liability with any reasonable degree of certainty. As our fact-gathering investigation and litigation response continues, we will continue to assess the potential impact of the MOVEit Vulnerability on our business, operations, and financial results. Also, each of the governmental inquiries and investigations mentioned above could result in adverse judgements, settlements, fines, penalties, or other resolutions, the amount, scope and timing of which could be material, but which we are currently unable to predict.</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customers and partners may seek refunds, delay implementation timelines, delay payment, fail to pay us in accordance with the terms of their</w:t>
      </w:r>
    </w:p>
    <w:p>
      <w:pPr>
        <w:spacing w:after="0" w:line="59"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b w:val="1"/>
          <w:bCs w:val="1"/>
          <w:i w:val="1"/>
          <w:iCs w:val="1"/>
          <w:color w:val="auto"/>
        </w:rPr>
        <w:t xml:space="preserve">agreements, or terminate use of our products, all of which can have an adverse effect on us. </w:t>
      </w:r>
      <w:r>
        <w:rPr>
          <w:rFonts w:ascii="Arial" w:cs="Arial" w:eastAsia="Arial" w:hAnsi="Arial"/>
          <w:sz w:val="17"/>
          <w:szCs w:val="17"/>
          <w:color w:val="auto"/>
        </w:rPr>
        <w:t>If customers or partners seek refunds, delay implementation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our products, delay payment, fail to pay us under the terms of our agreements, or terminate use of our products, we may be adversely affected both from the inability to collect amounts due and the cost of enforcing the terms of our contracts (including litigation related thereto). For example, as of the date of the filing of this report on Form 10-Q, 23 customers and others that claim to have been impacted by the MOVEit Vulnerability have indicated that they intend to seek indemnification from us related to the MOVEit Vulnerability and it is possible that, in connection therewith, they may delay payment under the terms of their contracts. Other MOVEit Transfer and MOVEit Cloud customers have sought refunds or delayed implementation timelines. As the scope of the impact of the MOVEit Vulnerability becomes more clear, additional customers may attempt to seek refunds, delay product implementation, withhold payments, or cease using the MOVEit product line entirely.</w:t>
      </w:r>
    </w:p>
    <w:p>
      <w:pPr>
        <w:spacing w:after="0" w:line="208" w:lineRule="exact"/>
        <w:rPr>
          <w:sz w:val="20"/>
          <w:szCs w:val="20"/>
          <w:color w:val="auto"/>
        </w:rPr>
      </w:pPr>
    </w:p>
    <w:p>
      <w:pPr>
        <w:ind w:right="260"/>
        <w:spacing w:after="0" w:line="324" w:lineRule="auto"/>
        <w:rPr>
          <w:sz w:val="20"/>
          <w:szCs w:val="20"/>
          <w:color w:val="auto"/>
        </w:rPr>
      </w:pPr>
      <w:r>
        <w:rPr>
          <w:rFonts w:ascii="Arial" w:cs="Arial" w:eastAsia="Arial" w:hAnsi="Arial"/>
          <w:sz w:val="16"/>
          <w:szCs w:val="16"/>
          <w:color w:val="auto"/>
        </w:rPr>
        <w:t>In addition, in the ordinary course of business, some of our customers and partners may seek bankruptcy protection or other similar relief and fail to pay amounts due to us, or pay those amounts more slowly, either of which could adversely affect our operating results, financial position and cash flow.</w:t>
      </w:r>
    </w:p>
    <w:p>
      <w:pPr>
        <w:spacing w:after="0" w:line="138" w:lineRule="exact"/>
        <w:rPr>
          <w:sz w:val="20"/>
          <w:szCs w:val="20"/>
          <w:color w:val="auto"/>
        </w:rPr>
      </w:pPr>
    </w:p>
    <w:p>
      <w:pPr>
        <w:ind w:right="120"/>
        <w:spacing w:after="0" w:line="279" w:lineRule="auto"/>
        <w:rPr>
          <w:sz w:val="20"/>
          <w:szCs w:val="20"/>
          <w:color w:val="auto"/>
        </w:rPr>
      </w:pPr>
      <w:r>
        <w:rPr>
          <w:rFonts w:ascii="Arial" w:cs="Arial" w:eastAsia="Arial" w:hAnsi="Arial"/>
          <w:sz w:val="16"/>
          <w:szCs w:val="16"/>
          <w:b w:val="1"/>
          <w:bCs w:val="1"/>
          <w:i w:val="1"/>
          <w:iCs w:val="1"/>
          <w:color w:val="auto"/>
        </w:rPr>
        <w:t xml:space="preserve">Our business could be damaged, and we could be subject to liability, in the event of any unauthorized access to our data or our customers’ data, including through privacy and data security breaches, such as or in addition to the MOVEit Vulnerability. </w:t>
      </w:r>
      <w:r>
        <w:rPr>
          <w:rFonts w:ascii="Arial" w:cs="Arial" w:eastAsia="Arial" w:hAnsi="Arial"/>
          <w:sz w:val="16"/>
          <w:szCs w:val="16"/>
          <w:color w:val="auto"/>
        </w:rPr>
        <w:t>The use of certain of our products, including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MOVEit Cloud, involves the transmission or storage of third-party data in our environment, some of which may be considered personally identifiable, confidential, or sensitive. In the ordinary course of business, we face security threats from malicious threat actors that could obtain unauthorized access to our systems, infrastructure, products, and networks. We anticipate that these threats will continue to grow in scope and complexity over time.</w:t>
      </w:r>
    </w:p>
    <w:p>
      <w:pPr>
        <w:spacing w:after="0" w:line="186"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For example, once we discovered the MOVEit Vulnerability on May 30, 2023, we (i) promptly took down MOVEit Cloud for investigation, and (ii) notified all then-known current and former MOVEit Transfer and MOVEit Cloud customers in order to apprise them of the MOVEit Vulnerability and alert them to immediate remedial actions. In parallel, our team developed a</w:t>
      </w: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37" w:name="page38"/>
    <w:bookmarkEnd w:id="37"/>
    <w:p>
      <w:pPr>
        <w:spacing w:after="0" w:line="236" w:lineRule="auto"/>
        <w:rPr>
          <w:sz w:val="20"/>
          <w:szCs w:val="20"/>
          <w:color w:val="auto"/>
        </w:rPr>
      </w:pPr>
      <w:r>
        <w:rPr>
          <w:rFonts w:ascii="Arial" w:cs="Arial" w:eastAsia="Arial" w:hAnsi="Arial"/>
          <w:sz w:val="18"/>
          <w:szCs w:val="18"/>
          <w:color w:val="auto"/>
        </w:rPr>
        <w:t>patch for all supported versions of MOVEit Transfer and MOVEit Cloud, which was released on May 31, 2023 and allowed for the restoration of MOVEit Cloud that same day. While we believe that our actions have, and will continue to, reduce the likelihood of similar vulnerabilities occurring in the future in our MOVEit product line, malicious threat actors might use techniques to exploit other zero-day vulnerabilities or use other means that we are unable to defend against, in order to compromise and infiltrate our systems, infrastructure, networks, and products, including, but not limited to, MOVEit or other products. In addition, MOVEit Transfer is a secure file-transfer software that is installed by customers on-premise and does not have any on-going telemetry after installation that allows us to track, among other things, a customer’s product usage, deployed version, file transfer activity (including any data that is transferred by or stored within the customer’s MOVEit Transfer instance), or whether the customer has applied any security patches or bug fixes to their MOVEit Transfer instance.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While we devote a significant amount of resources to cyber security related matters in the operation of our business, we may fail to detect the existence of a breach and be unable to prevent unauthorized access to user and company content across our systems, infrastructure, products, and networks. The techniques used to obtain unauthorized access, disable or degrade service, or sabotage systems change frequently and are often not recognized until launched against a target. They may originate from less regulated or remote areas around the world, or from state-sponsored actors. If our security measures are breached, we may suffer reputational damage, our products may be perceived as insecure, and we may lose existing customers, or fail to attract and retain new customers.</w:t>
      </w:r>
    </w:p>
    <w:p>
      <w:pPr>
        <w:spacing w:after="0" w:line="216" w:lineRule="exact"/>
        <w:rPr>
          <w:sz w:val="20"/>
          <w:szCs w:val="20"/>
          <w:color w:val="auto"/>
        </w:rPr>
      </w:pPr>
    </w:p>
    <w:p>
      <w:pPr>
        <w:jc w:val="both"/>
        <w:ind w:right="380"/>
        <w:spacing w:after="0" w:line="243" w:lineRule="auto"/>
        <w:rPr>
          <w:sz w:val="20"/>
          <w:szCs w:val="20"/>
          <w:color w:val="auto"/>
        </w:rPr>
      </w:pPr>
      <w:r>
        <w:rPr>
          <w:rFonts w:ascii="Arial" w:cs="Arial" w:eastAsia="Arial" w:hAnsi="Arial"/>
          <w:sz w:val="18"/>
          <w:szCs w:val="18"/>
          <w:color w:val="auto"/>
        </w:rPr>
        <w:t>In addition to internal resources, we frequently rely on third parties when deploying our cybersecurity related infrastructure, and in doing so, may be exposed to security risks outside of our direct control. In connection therewith, we rely on outside vendors and contractors to perform certain services necessary for the operation and testing of certain of our products, and they may fail to adequately secure our platform or discover vulnerabilities in our products.</w:t>
      </w:r>
    </w:p>
    <w:p>
      <w:pPr>
        <w:spacing w:after="0" w:line="215"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While we have implemented security procedures and controls aimed at addressing these threats and patching vulnerabilities, our security measures could be compromised and our attempts to implement security measures and patch vulnerabilities could prove to be inadequate or could fail. Any such failure could result in significant legal and financial exposure, increased costs to defend litigation, indemnity and other contractual obligations, government fines and penalties, damage to our reputation and our brand, and a loss of confidence in the security of our products and services that could potentially have an adverse effect on our business and results of operations. In addition, our insurance coverage may not be adequate to cover all costs related to cybersecurity incidents or the exploitation of vulnerabilities as well as the disruptions and liabilities resulting from such events.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Stock Repurchases</w:t>
      </w:r>
    </w:p>
    <w:p>
      <w:pPr>
        <w:spacing w:after="0" w:line="256" w:lineRule="exact"/>
        <w:rPr>
          <w:sz w:val="20"/>
          <w:szCs w:val="20"/>
          <w:color w:val="auto"/>
        </w:rPr>
      </w:pPr>
    </w:p>
    <w:p>
      <w:pPr>
        <w:ind w:right="200"/>
        <w:spacing w:after="0" w:line="273" w:lineRule="auto"/>
        <w:rPr>
          <w:sz w:val="20"/>
          <w:szCs w:val="20"/>
          <w:color w:val="auto"/>
        </w:rPr>
      </w:pPr>
      <w:r>
        <w:rPr>
          <w:rFonts w:ascii="Arial" w:cs="Arial" w:eastAsia="Arial" w:hAnsi="Arial"/>
          <w:sz w:val="18"/>
          <w:szCs w:val="18"/>
          <w:color w:val="auto"/>
        </w:rPr>
        <w:t>Information related to the repurchases of our common stock by month in the third quarter of fiscal year 2023 is as follows (in thousands, except per share and share data):</w:t>
      </w:r>
    </w:p>
    <w:tbl>
      <w:tblPr>
        <w:tblLayout w:type="fixed"/>
        <w:tblInd w:w="0" w:type="dxa"/>
        <w:tblCellMar>
          <w:top w:w="0" w:type="dxa"/>
          <w:left w:w="0" w:type="dxa"/>
          <w:bottom w:w="0" w:type="dxa"/>
          <w:right w:w="0" w:type="dxa"/>
        </w:tblCellMar>
      </w:tblPr>
      <w:tr>
        <w:trPr>
          <w:trHeight w:val="178"/>
        </w:trPr>
        <w:tc>
          <w:tcPr>
            <w:tcW w:w="3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gridSpan w:val="2"/>
          </w:tcPr>
          <w:p>
            <w:pPr>
              <w:jc w:val="center"/>
              <w:ind w:right="100"/>
              <w:spacing w:after="0" w:line="178" w:lineRule="exact"/>
              <w:rPr>
                <w:sz w:val="20"/>
                <w:szCs w:val="20"/>
                <w:color w:val="auto"/>
              </w:rPr>
            </w:pPr>
            <w:r>
              <w:rPr>
                <w:rFonts w:ascii="Arial" w:cs="Arial" w:eastAsia="Arial" w:hAnsi="Arial"/>
                <w:sz w:val="18"/>
                <w:szCs w:val="18"/>
                <w:color w:val="auto"/>
                <w:w w:val="92"/>
              </w:rPr>
              <w:t>Total Number of</w:t>
            </w:r>
          </w:p>
        </w:tc>
        <w:tc>
          <w:tcPr>
            <w:tcW w:w="120" w:type="dxa"/>
            <w:vAlign w:val="bottom"/>
          </w:tcPr>
          <w:p>
            <w:pPr>
              <w:spacing w:after="0"/>
              <w:rPr>
                <w:sz w:val="15"/>
                <w:szCs w:val="15"/>
                <w:color w:val="auto"/>
              </w:rPr>
            </w:pPr>
          </w:p>
        </w:tc>
        <w:tc>
          <w:tcPr>
            <w:tcW w:w="1740" w:type="dxa"/>
            <w:vAlign w:val="bottom"/>
          </w:tcPr>
          <w:p>
            <w:pPr>
              <w:jc w:val="center"/>
              <w:ind w:right="30"/>
              <w:spacing w:after="0" w:line="178" w:lineRule="exact"/>
              <w:rPr>
                <w:sz w:val="20"/>
                <w:szCs w:val="20"/>
                <w:color w:val="auto"/>
              </w:rPr>
            </w:pPr>
            <w:r>
              <w:rPr>
                <w:rFonts w:ascii="Arial" w:cs="Arial" w:eastAsia="Arial" w:hAnsi="Arial"/>
                <w:sz w:val="18"/>
                <w:szCs w:val="18"/>
                <w:color w:val="auto"/>
                <w:w w:val="95"/>
              </w:rPr>
              <w:t>Approximate Dollar</w:t>
            </w:r>
          </w:p>
        </w:tc>
        <w:tc>
          <w:tcPr>
            <w:tcW w:w="0" w:type="dxa"/>
            <w:vAlign w:val="bottom"/>
          </w:tcPr>
          <w:p>
            <w:pPr>
              <w:spacing w:after="0"/>
              <w:rPr>
                <w:sz w:val="1"/>
                <w:szCs w:val="1"/>
                <w:color w:val="auto"/>
              </w:rPr>
            </w:pPr>
          </w:p>
        </w:tc>
      </w:tr>
      <w:tr>
        <w:trPr>
          <w:trHeight w:val="188"/>
        </w:trPr>
        <w:tc>
          <w:tcPr>
            <w:tcW w:w="3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gridSpan w:val="2"/>
          </w:tcPr>
          <w:p>
            <w:pPr>
              <w:jc w:val="center"/>
              <w:ind w:right="120"/>
              <w:spacing w:after="0" w:line="189" w:lineRule="exact"/>
              <w:rPr>
                <w:sz w:val="20"/>
                <w:szCs w:val="20"/>
                <w:color w:val="auto"/>
              </w:rPr>
            </w:pPr>
            <w:r>
              <w:rPr>
                <w:rFonts w:ascii="Arial" w:cs="Arial" w:eastAsia="Arial" w:hAnsi="Arial"/>
                <w:sz w:val="18"/>
                <w:szCs w:val="18"/>
                <w:color w:val="auto"/>
                <w:w w:val="84"/>
              </w:rPr>
              <w:t>Shares Purchased as</w:t>
            </w:r>
          </w:p>
        </w:tc>
        <w:tc>
          <w:tcPr>
            <w:tcW w:w="120" w:type="dxa"/>
            <w:vAlign w:val="bottom"/>
          </w:tcPr>
          <w:p>
            <w:pPr>
              <w:spacing w:after="0"/>
              <w:rPr>
                <w:sz w:val="16"/>
                <w:szCs w:val="16"/>
                <w:color w:val="auto"/>
              </w:rPr>
            </w:pPr>
          </w:p>
        </w:tc>
        <w:tc>
          <w:tcPr>
            <w:tcW w:w="1740" w:type="dxa"/>
            <w:vAlign w:val="bottom"/>
          </w:tcPr>
          <w:p>
            <w:pPr>
              <w:jc w:val="center"/>
              <w:ind w:right="10"/>
              <w:spacing w:after="0" w:line="189" w:lineRule="exact"/>
              <w:rPr>
                <w:sz w:val="20"/>
                <w:szCs w:val="20"/>
                <w:color w:val="auto"/>
              </w:rPr>
            </w:pPr>
            <w:r>
              <w:rPr>
                <w:rFonts w:ascii="Arial" w:cs="Arial" w:eastAsia="Arial" w:hAnsi="Arial"/>
                <w:sz w:val="18"/>
                <w:szCs w:val="18"/>
                <w:color w:val="auto"/>
                <w:w w:val="88"/>
              </w:rPr>
              <w:t>Value of Shares that</w:t>
            </w:r>
          </w:p>
        </w:tc>
        <w:tc>
          <w:tcPr>
            <w:tcW w:w="0" w:type="dxa"/>
            <w:vAlign w:val="bottom"/>
          </w:tcPr>
          <w:p>
            <w:pPr>
              <w:spacing w:after="0"/>
              <w:rPr>
                <w:sz w:val="1"/>
                <w:szCs w:val="1"/>
                <w:color w:val="auto"/>
              </w:rPr>
            </w:pPr>
          </w:p>
        </w:tc>
      </w:tr>
      <w:tr>
        <w:trPr>
          <w:trHeight w:val="176"/>
        </w:trPr>
        <w:tc>
          <w:tcPr>
            <w:tcW w:w="3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2"/>
            <w:vMerge w:val="restart"/>
          </w:tcPr>
          <w:p>
            <w:pPr>
              <w:ind w:left="240"/>
              <w:spacing w:after="0"/>
              <w:rPr>
                <w:sz w:val="20"/>
                <w:szCs w:val="20"/>
                <w:color w:val="auto"/>
              </w:rPr>
            </w:pPr>
            <w:r>
              <w:rPr>
                <w:rFonts w:ascii="Arial" w:cs="Arial" w:eastAsia="Arial" w:hAnsi="Arial"/>
                <w:sz w:val="18"/>
                <w:szCs w:val="18"/>
                <w:color w:val="auto"/>
              </w:rPr>
              <w:t>Total Number of</w:t>
            </w:r>
          </w:p>
        </w:tc>
        <w:tc>
          <w:tcPr>
            <w:tcW w:w="1800" w:type="dxa"/>
            <w:vAlign w:val="bottom"/>
            <w:gridSpan w:val="3"/>
            <w:vMerge w:val="restart"/>
          </w:tcPr>
          <w:p>
            <w:pPr>
              <w:ind w:left="20"/>
              <w:spacing w:after="0"/>
              <w:rPr>
                <w:sz w:val="20"/>
                <w:szCs w:val="20"/>
                <w:color w:val="auto"/>
              </w:rPr>
            </w:pPr>
            <w:r>
              <w:rPr>
                <w:rFonts w:ascii="Arial" w:cs="Arial" w:eastAsia="Arial" w:hAnsi="Arial"/>
                <w:sz w:val="18"/>
                <w:szCs w:val="18"/>
                <w:color w:val="auto"/>
                <w:w w:val="95"/>
              </w:rPr>
              <w:t>Average Price Paid per</w:t>
            </w:r>
          </w:p>
        </w:tc>
        <w:tc>
          <w:tcPr>
            <w:tcW w:w="178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3"/>
              </w:rPr>
              <w:t>Part of Publicly</w:t>
            </w:r>
          </w:p>
        </w:tc>
        <w:tc>
          <w:tcPr>
            <w:tcW w:w="120" w:type="dxa"/>
            <w:vAlign w:val="bottom"/>
          </w:tcPr>
          <w:p>
            <w:pPr>
              <w:spacing w:after="0"/>
              <w:rPr>
                <w:sz w:val="15"/>
                <w:szCs w:val="15"/>
                <w:color w:val="auto"/>
              </w:rPr>
            </w:pPr>
          </w:p>
        </w:tc>
        <w:tc>
          <w:tcPr>
            <w:tcW w:w="1740" w:type="dxa"/>
            <w:vAlign w:val="bottom"/>
          </w:tcPr>
          <w:p>
            <w:pPr>
              <w:jc w:val="center"/>
              <w:ind w:right="30"/>
              <w:spacing w:after="0" w:line="176" w:lineRule="exact"/>
              <w:rPr>
                <w:sz w:val="20"/>
                <w:szCs w:val="20"/>
                <w:color w:val="auto"/>
              </w:rPr>
            </w:pPr>
            <w:r>
              <w:rPr>
                <w:rFonts w:ascii="Arial" w:cs="Arial" w:eastAsia="Arial" w:hAnsi="Arial"/>
                <w:sz w:val="18"/>
                <w:szCs w:val="18"/>
                <w:color w:val="auto"/>
                <w:w w:val="88"/>
              </w:rPr>
              <w:t>May Yet be Purchased</w:t>
            </w:r>
          </w:p>
        </w:tc>
        <w:tc>
          <w:tcPr>
            <w:tcW w:w="0" w:type="dxa"/>
            <w:vAlign w:val="bottom"/>
          </w:tcPr>
          <w:p>
            <w:pPr>
              <w:spacing w:after="0"/>
              <w:rPr>
                <w:sz w:val="1"/>
                <w:szCs w:val="1"/>
                <w:color w:val="auto"/>
              </w:rPr>
            </w:pPr>
          </w:p>
        </w:tc>
      </w:tr>
      <w:tr>
        <w:trPr>
          <w:trHeight w:val="175"/>
        </w:trPr>
        <w:tc>
          <w:tcPr>
            <w:tcW w:w="3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2"/>
            <w:vMerge w:val="continue"/>
          </w:tcPr>
          <w:p>
            <w:pPr>
              <w:spacing w:after="0"/>
              <w:rPr>
                <w:sz w:val="15"/>
                <w:szCs w:val="15"/>
                <w:color w:val="auto"/>
              </w:rPr>
            </w:pPr>
          </w:p>
        </w:tc>
        <w:tc>
          <w:tcPr>
            <w:tcW w:w="1800" w:type="dxa"/>
            <w:vAlign w:val="bottom"/>
            <w:gridSpan w:val="3"/>
            <w:vMerge w:val="continue"/>
          </w:tcPr>
          <w:p>
            <w:pPr>
              <w:spacing w:after="0"/>
              <w:rPr>
                <w:sz w:val="15"/>
                <w:szCs w:val="15"/>
                <w:color w:val="auto"/>
              </w:rPr>
            </w:pPr>
          </w:p>
        </w:tc>
        <w:tc>
          <w:tcPr>
            <w:tcW w:w="178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0"/>
              </w:rPr>
              <w:t>Announced Plans or</w:t>
            </w:r>
          </w:p>
        </w:tc>
        <w:tc>
          <w:tcPr>
            <w:tcW w:w="120" w:type="dxa"/>
            <w:vAlign w:val="bottom"/>
          </w:tcPr>
          <w:p>
            <w:pPr>
              <w:spacing w:after="0"/>
              <w:rPr>
                <w:sz w:val="15"/>
                <w:szCs w:val="15"/>
                <w:color w:val="auto"/>
              </w:rPr>
            </w:pPr>
          </w:p>
        </w:tc>
        <w:tc>
          <w:tcPr>
            <w:tcW w:w="1740" w:type="dxa"/>
            <w:vAlign w:val="bottom"/>
          </w:tcPr>
          <w:p>
            <w:pPr>
              <w:jc w:val="center"/>
              <w:ind w:right="30"/>
              <w:spacing w:after="0" w:line="176" w:lineRule="exact"/>
              <w:rPr>
                <w:sz w:val="20"/>
                <w:szCs w:val="20"/>
                <w:color w:val="auto"/>
              </w:rPr>
            </w:pPr>
            <w:r>
              <w:rPr>
                <w:rFonts w:ascii="Arial" w:cs="Arial" w:eastAsia="Arial" w:hAnsi="Arial"/>
                <w:sz w:val="18"/>
                <w:szCs w:val="18"/>
                <w:color w:val="auto"/>
                <w:w w:val="89"/>
              </w:rPr>
              <w:t>Under the Plans or</w:t>
            </w:r>
          </w:p>
        </w:tc>
        <w:tc>
          <w:tcPr>
            <w:tcW w:w="0" w:type="dxa"/>
            <w:vAlign w:val="bottom"/>
          </w:tcPr>
          <w:p>
            <w:pPr>
              <w:spacing w:after="0"/>
              <w:rPr>
                <w:sz w:val="1"/>
                <w:szCs w:val="1"/>
                <w:color w:val="auto"/>
              </w:rPr>
            </w:pPr>
          </w:p>
        </w:tc>
      </w:tr>
      <w:tr>
        <w:trPr>
          <w:trHeight w:val="243"/>
        </w:trPr>
        <w:tc>
          <w:tcPr>
            <w:tcW w:w="3960" w:type="dxa"/>
            <w:vAlign w:val="bottom"/>
            <w:gridSpan w:val="2"/>
          </w:tcPr>
          <w:p>
            <w:pPr>
              <w:ind w:left="1700"/>
              <w:spacing w:after="0"/>
              <w:rPr>
                <w:sz w:val="20"/>
                <w:szCs w:val="20"/>
                <w:color w:val="auto"/>
              </w:rPr>
            </w:pPr>
            <w:r>
              <w:rPr>
                <w:rFonts w:ascii="Arial" w:cs="Arial" w:eastAsia="Arial" w:hAnsi="Arial"/>
                <w:sz w:val="18"/>
                <w:szCs w:val="18"/>
                <w:color w:val="auto"/>
              </w:rPr>
              <w:t>Period</w:t>
            </w:r>
          </w:p>
        </w:tc>
        <w:tc>
          <w:tcPr>
            <w:tcW w:w="1800" w:type="dxa"/>
            <w:vAlign w:val="bottom"/>
            <w:gridSpan w:val="2"/>
          </w:tcPr>
          <w:p>
            <w:pPr>
              <w:ind w:left="220"/>
              <w:spacing w:after="0"/>
              <w:rPr>
                <w:sz w:val="20"/>
                <w:szCs w:val="20"/>
                <w:color w:val="auto"/>
              </w:rPr>
            </w:pPr>
            <w:r>
              <w:rPr>
                <w:rFonts w:ascii="Arial" w:cs="Arial" w:eastAsia="Arial" w:hAnsi="Arial"/>
                <w:sz w:val="18"/>
                <w:szCs w:val="18"/>
                <w:color w:val="auto"/>
              </w:rPr>
              <w:t>Shares Purchased</w:t>
            </w:r>
          </w:p>
        </w:tc>
        <w:tc>
          <w:tcPr>
            <w:tcW w:w="380" w:type="dxa"/>
            <w:vAlign w:val="bottom"/>
          </w:tcPr>
          <w:p>
            <w:pPr>
              <w:spacing w:after="0"/>
              <w:rPr>
                <w:sz w:val="21"/>
                <w:szCs w:val="21"/>
                <w:color w:val="auto"/>
              </w:rPr>
            </w:pPr>
          </w:p>
        </w:tc>
        <w:tc>
          <w:tcPr>
            <w:tcW w:w="1420" w:type="dxa"/>
            <w:vAlign w:val="bottom"/>
            <w:gridSpan w:val="2"/>
          </w:tcPr>
          <w:p>
            <w:pPr>
              <w:ind w:left="260"/>
              <w:spacing w:after="0"/>
              <w:rPr>
                <w:sz w:val="20"/>
                <w:szCs w:val="20"/>
                <w:color w:val="auto"/>
              </w:rPr>
            </w:pPr>
            <w:r>
              <w:rPr>
                <w:rFonts w:ascii="Arial" w:cs="Arial" w:eastAsia="Arial" w:hAnsi="Arial"/>
                <w:sz w:val="18"/>
                <w:szCs w:val="18"/>
                <w:color w:val="auto"/>
              </w:rPr>
              <w:t>Share</w:t>
            </w: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Programs</w:t>
            </w:r>
          </w:p>
        </w:tc>
        <w:tc>
          <w:tcPr>
            <w:tcW w:w="120" w:type="dxa"/>
            <w:vAlign w:val="bottom"/>
          </w:tcPr>
          <w:p>
            <w:pPr>
              <w:spacing w:after="0"/>
              <w:rPr>
                <w:sz w:val="21"/>
                <w:szCs w:val="21"/>
                <w:color w:val="auto"/>
              </w:rPr>
            </w:pPr>
          </w:p>
        </w:tc>
        <w:tc>
          <w:tcPr>
            <w:tcW w:w="1740" w:type="dxa"/>
            <w:vAlign w:val="bottom"/>
          </w:tcPr>
          <w:p>
            <w:pPr>
              <w:jc w:val="center"/>
              <w:ind w:right="30"/>
              <w:spacing w:after="0" w:line="243" w:lineRule="exact"/>
              <w:rPr>
                <w:sz w:val="20"/>
                <w:szCs w:val="20"/>
                <w:color w:val="auto"/>
              </w:rPr>
            </w:pPr>
            <w:r>
              <w:rPr>
                <w:rFonts w:ascii="Arial" w:cs="Arial" w:eastAsia="Arial" w:hAnsi="Arial"/>
                <w:sz w:val="18"/>
                <w:szCs w:val="18"/>
                <w:color w:val="auto"/>
                <w:w w:val="84"/>
              </w:rPr>
              <w:t>Programs</w:t>
            </w:r>
            <w:r>
              <w:rPr>
                <w:rFonts w:ascii="Arial" w:cs="Arial" w:eastAsia="Arial" w:hAnsi="Arial"/>
                <w:sz w:val="23"/>
                <w:szCs w:val="23"/>
                <w:color w:val="auto"/>
                <w:w w:val="84"/>
                <w:vertAlign w:val="superscript"/>
              </w:rPr>
              <w:t>(1)</w:t>
            </w:r>
          </w:p>
        </w:tc>
        <w:tc>
          <w:tcPr>
            <w:tcW w:w="0" w:type="dxa"/>
            <w:vAlign w:val="bottom"/>
          </w:tcPr>
          <w:p>
            <w:pPr>
              <w:spacing w:after="0"/>
              <w:rPr>
                <w:sz w:val="1"/>
                <w:szCs w:val="1"/>
                <w:color w:val="auto"/>
              </w:rPr>
            </w:pPr>
          </w:p>
        </w:tc>
      </w:tr>
      <w:tr>
        <w:trPr>
          <w:trHeight w:val="223"/>
        </w:trPr>
        <w:tc>
          <w:tcPr>
            <w:tcW w:w="3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June 2023</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ind w:left="14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ind w:left="14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197,959</w:t>
            </w:r>
          </w:p>
        </w:tc>
        <w:tc>
          <w:tcPr>
            <w:tcW w:w="0" w:type="dxa"/>
            <w:vAlign w:val="bottom"/>
          </w:tcPr>
          <w:p>
            <w:pPr>
              <w:spacing w:after="0"/>
              <w:rPr>
                <w:sz w:val="1"/>
                <w:szCs w:val="1"/>
                <w:color w:val="auto"/>
              </w:rPr>
            </w:pPr>
          </w:p>
        </w:tc>
      </w:tr>
      <w:tr>
        <w:trPr>
          <w:trHeight w:val="230"/>
        </w:trPr>
        <w:tc>
          <w:tcPr>
            <w:tcW w:w="3960" w:type="dxa"/>
            <w:vAlign w:val="bottom"/>
            <w:gridSpan w:val="2"/>
          </w:tcPr>
          <w:p>
            <w:pPr>
              <w:ind w:left="20"/>
              <w:spacing w:after="0"/>
              <w:rPr>
                <w:sz w:val="20"/>
                <w:szCs w:val="20"/>
                <w:color w:val="auto"/>
              </w:rPr>
            </w:pPr>
            <w:r>
              <w:rPr>
                <w:rFonts w:ascii="Arial" w:cs="Arial" w:eastAsia="Arial" w:hAnsi="Arial"/>
                <w:sz w:val="18"/>
                <w:szCs w:val="18"/>
                <w:color w:val="auto"/>
              </w:rPr>
              <w:t>July 2023</w:t>
            </w:r>
          </w:p>
        </w:tc>
        <w:tc>
          <w:tcPr>
            <w:tcW w:w="1800" w:type="dxa"/>
            <w:vAlign w:val="bottom"/>
            <w:gridSpan w:val="2"/>
          </w:tcPr>
          <w:p>
            <w:pPr>
              <w:ind w:left="14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780" w:type="dxa"/>
            <w:vAlign w:val="bottom"/>
            <w:gridSpan w:val="2"/>
          </w:tcPr>
          <w:p>
            <w:pPr>
              <w:ind w:left="1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197,959</w:t>
            </w:r>
          </w:p>
        </w:tc>
        <w:tc>
          <w:tcPr>
            <w:tcW w:w="0" w:type="dxa"/>
            <w:vAlign w:val="bottom"/>
          </w:tcPr>
          <w:p>
            <w:pPr>
              <w:spacing w:after="0"/>
              <w:rPr>
                <w:sz w:val="1"/>
                <w:szCs w:val="1"/>
                <w:color w:val="auto"/>
              </w:rPr>
            </w:pPr>
          </w:p>
        </w:tc>
      </w:tr>
      <w:tr>
        <w:trPr>
          <w:trHeight w:val="230"/>
        </w:trPr>
        <w:tc>
          <w:tcPr>
            <w:tcW w:w="3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August 2023</w:t>
            </w:r>
          </w:p>
        </w:tc>
        <w:tc>
          <w:tcPr>
            <w:tcW w:w="1800" w:type="dxa"/>
            <w:vAlign w:val="bottom"/>
            <w:gridSpan w:val="2"/>
            <w:shd w:val="clear" w:color="auto" w:fill="CCEEFF"/>
          </w:tcPr>
          <w:p>
            <w:pPr>
              <w:ind w:left="14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ind w:left="1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197,959</w:t>
            </w:r>
          </w:p>
        </w:tc>
        <w:tc>
          <w:tcPr>
            <w:tcW w:w="0" w:type="dxa"/>
            <w:vAlign w:val="bottom"/>
          </w:tcPr>
          <w:p>
            <w:pPr>
              <w:spacing w:after="0"/>
              <w:rPr>
                <w:sz w:val="1"/>
                <w:szCs w:val="1"/>
                <w:color w:val="auto"/>
              </w:rPr>
            </w:pPr>
          </w:p>
        </w:tc>
      </w:tr>
      <w:tr>
        <w:trPr>
          <w:trHeight w:val="223"/>
        </w:trPr>
        <w:tc>
          <w:tcPr>
            <w:tcW w:w="39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700" w:type="dxa"/>
            <w:vAlign w:val="bottom"/>
            <w:tcBorders>
              <w:top w:val="single" w:sz="8" w:color="auto"/>
              <w:bottom w:val="single" w:sz="8" w:color="auto"/>
            </w:tcBorders>
          </w:tcPr>
          <w:p>
            <w:pPr>
              <w:ind w:left="1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tcPr>
          <w:p>
            <w:pPr>
              <w:ind w:left="10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80" w:type="dxa"/>
            <w:vAlign w:val="bottom"/>
            <w:tcBorders>
              <w:top w:val="single" w:sz="8" w:color="auto"/>
              <w:bottom w:val="single" w:sz="8" w:color="auto"/>
            </w:tcBorders>
          </w:tcPr>
          <w:p>
            <w:pPr>
              <w:ind w:left="1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197,959</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580" w:right="320" w:hanging="329"/>
        <w:spacing w:after="0" w:line="293" w:lineRule="auto"/>
        <w:tabs>
          <w:tab w:leader="none" w:pos="572" w:val="left"/>
        </w:tabs>
        <w:numPr>
          <w:ilvl w:val="0"/>
          <w:numId w:val="3"/>
        </w:numPr>
        <w:rPr>
          <w:rFonts w:ascii="Arial" w:cs="Arial" w:eastAsia="Arial" w:hAnsi="Arial"/>
          <w:sz w:val="14"/>
          <w:szCs w:val="14"/>
          <w:color w:val="auto"/>
        </w:rPr>
      </w:pPr>
      <w:r>
        <w:rPr>
          <w:rFonts w:ascii="Arial" w:cs="Arial" w:eastAsia="Arial" w:hAnsi="Arial"/>
          <w:sz w:val="14"/>
          <w:szCs w:val="14"/>
          <w:color w:val="auto"/>
        </w:rPr>
        <w:t>On January 10, 2023, our Board of Directors increased the share repurchase authorization by 150.0 million, to an aggregate authorization of $228.0 million. As of August 31, 2023, there was $198.0 million remaining under this authorization.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Item 5.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Insider Adoption or Termination of Trading Arrangements</w:t>
      </w:r>
    </w:p>
    <w:p>
      <w:pPr>
        <w:spacing w:after="0" w:line="243" w:lineRule="exact"/>
        <w:rPr>
          <w:sz w:val="20"/>
          <w:szCs w:val="20"/>
          <w:color w:val="auto"/>
        </w:rPr>
      </w:pPr>
    </w:p>
    <w:p>
      <w:pPr>
        <w:ind w:right="220"/>
        <w:spacing w:after="0" w:line="307" w:lineRule="auto"/>
        <w:rPr>
          <w:sz w:val="20"/>
          <w:szCs w:val="20"/>
          <w:color w:val="auto"/>
        </w:rPr>
      </w:pPr>
      <w:r>
        <w:rPr>
          <w:rFonts w:ascii="Arial" w:cs="Arial" w:eastAsia="Arial" w:hAnsi="Arial"/>
          <w:sz w:val="16"/>
          <w:szCs w:val="16"/>
          <w:color w:val="auto"/>
        </w:rPr>
        <w:t>During the third quarter of fiscal year 2023, none of our directors or officers informed us of the adoption or termination of a “Rule 10b5-1 trading arrangement” or “non-Rule 10b5-1 trading arrangement,” as those terms are defined in Regulation S-K, Item 408, except as described in the table below:</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440" w:type="dxa"/>
            <w:vAlign w:val="bottom"/>
          </w:tcPr>
          <w:p>
            <w:pPr>
              <w:jc w:val="center"/>
              <w:ind w:left="170"/>
              <w:spacing w:after="0"/>
              <w:rPr>
                <w:sz w:val="20"/>
                <w:szCs w:val="20"/>
                <w:color w:val="auto"/>
              </w:rPr>
            </w:pPr>
            <w:r>
              <w:rPr>
                <w:rFonts w:ascii="Arial" w:cs="Arial" w:eastAsia="Arial" w:hAnsi="Arial"/>
                <w:sz w:val="18"/>
                <w:szCs w:val="18"/>
                <w:color w:val="auto"/>
                <w:w w:val="91"/>
              </w:rPr>
              <w:t>Aggregate Number of</w:t>
            </w:r>
          </w:p>
        </w:tc>
      </w:tr>
      <w:tr>
        <w:trPr>
          <w:trHeight w:val="203"/>
        </w:trPr>
        <w:tc>
          <w:tcPr>
            <w:tcW w:w="3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440" w:type="dxa"/>
            <w:vAlign w:val="bottom"/>
          </w:tcPr>
          <w:p>
            <w:pPr>
              <w:jc w:val="center"/>
              <w:ind w:left="170"/>
              <w:spacing w:after="0" w:line="202" w:lineRule="exact"/>
              <w:rPr>
                <w:sz w:val="20"/>
                <w:szCs w:val="20"/>
                <w:color w:val="auto"/>
              </w:rPr>
            </w:pPr>
            <w:r>
              <w:rPr>
                <w:rFonts w:ascii="Arial" w:cs="Arial" w:eastAsia="Arial" w:hAnsi="Arial"/>
                <w:sz w:val="18"/>
                <w:szCs w:val="18"/>
                <w:color w:val="auto"/>
                <w:w w:val="88"/>
              </w:rPr>
              <w:t>Shares of Common</w:t>
            </w:r>
          </w:p>
        </w:tc>
      </w:tr>
      <w:tr>
        <w:trPr>
          <w:trHeight w:val="203"/>
        </w:trPr>
        <w:tc>
          <w:tcPr>
            <w:tcW w:w="3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Character of Trading</w:t>
            </w:r>
          </w:p>
        </w:tc>
        <w:tc>
          <w:tcPr>
            <w:tcW w:w="15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440" w:type="dxa"/>
            <w:vAlign w:val="bottom"/>
          </w:tcPr>
          <w:p>
            <w:pPr>
              <w:jc w:val="center"/>
              <w:ind w:left="190"/>
              <w:spacing w:after="0" w:line="202" w:lineRule="exact"/>
              <w:rPr>
                <w:sz w:val="20"/>
                <w:szCs w:val="20"/>
                <w:color w:val="auto"/>
              </w:rPr>
            </w:pPr>
            <w:r>
              <w:rPr>
                <w:rFonts w:ascii="Arial" w:cs="Arial" w:eastAsia="Arial" w:hAnsi="Arial"/>
                <w:sz w:val="18"/>
                <w:szCs w:val="18"/>
                <w:color w:val="auto"/>
                <w:w w:val="89"/>
              </w:rPr>
              <w:t>Stock to be Sold Pursuant to</w:t>
            </w:r>
          </w:p>
        </w:tc>
      </w:tr>
      <w:tr>
        <w:trPr>
          <w:trHeight w:val="271"/>
        </w:trPr>
        <w:tc>
          <w:tcPr>
            <w:tcW w:w="3260" w:type="dxa"/>
            <w:vAlign w:val="bottom"/>
            <w:gridSpan w:val="2"/>
          </w:tcPr>
          <w:p>
            <w:pPr>
              <w:ind w:left="1020"/>
              <w:spacing w:after="0"/>
              <w:rPr>
                <w:sz w:val="20"/>
                <w:szCs w:val="20"/>
                <w:color w:val="auto"/>
              </w:rPr>
            </w:pPr>
            <w:r>
              <w:rPr>
                <w:rFonts w:ascii="Arial" w:cs="Arial" w:eastAsia="Arial" w:hAnsi="Arial"/>
                <w:sz w:val="18"/>
                <w:szCs w:val="18"/>
                <w:color w:val="auto"/>
              </w:rPr>
              <w:t>Name and Title</w:t>
            </w:r>
          </w:p>
        </w:tc>
        <w:tc>
          <w:tcPr>
            <w:tcW w:w="2140" w:type="dxa"/>
            <w:vAlign w:val="bottom"/>
            <w:gridSpan w:val="2"/>
          </w:tcPr>
          <w:p>
            <w:pPr>
              <w:ind w:left="520"/>
              <w:spacing w:after="0"/>
              <w:rPr>
                <w:sz w:val="20"/>
                <w:szCs w:val="20"/>
                <w:color w:val="auto"/>
              </w:rPr>
            </w:pPr>
            <w:r>
              <w:rPr>
                <w:rFonts w:ascii="Arial" w:cs="Arial" w:eastAsia="Arial" w:hAnsi="Arial"/>
                <w:sz w:val="18"/>
                <w:szCs w:val="18"/>
                <w:color w:val="auto"/>
              </w:rPr>
              <w:t>Arrangement</w:t>
            </w:r>
            <w:r>
              <w:rPr>
                <w:rFonts w:ascii="Arial" w:cs="Arial" w:eastAsia="Arial" w:hAnsi="Arial"/>
                <w:sz w:val="23"/>
                <w:szCs w:val="23"/>
                <w:color w:val="auto"/>
                <w:vertAlign w:val="superscript"/>
              </w:rPr>
              <w:t>1</w:t>
            </w:r>
          </w:p>
        </w:tc>
        <w:tc>
          <w:tcPr>
            <w:tcW w:w="1500" w:type="dxa"/>
            <w:vAlign w:val="bottom"/>
          </w:tcPr>
          <w:p>
            <w:pPr>
              <w:ind w:left="280"/>
              <w:spacing w:after="0"/>
              <w:rPr>
                <w:sz w:val="20"/>
                <w:szCs w:val="20"/>
                <w:color w:val="auto"/>
              </w:rPr>
            </w:pPr>
            <w:r>
              <w:rPr>
                <w:rFonts w:ascii="Arial" w:cs="Arial" w:eastAsia="Arial" w:hAnsi="Arial"/>
                <w:sz w:val="18"/>
                <w:szCs w:val="18"/>
                <w:color w:val="auto"/>
              </w:rPr>
              <w:t>Date Adopted</w:t>
            </w:r>
          </w:p>
        </w:tc>
        <w:tc>
          <w:tcPr>
            <w:tcW w:w="1900" w:type="dxa"/>
            <w:vAlign w:val="bottom"/>
          </w:tcPr>
          <w:p>
            <w:pPr>
              <w:ind w:left="780"/>
              <w:spacing w:after="0"/>
              <w:rPr>
                <w:sz w:val="20"/>
                <w:szCs w:val="20"/>
                <w:color w:val="auto"/>
              </w:rPr>
            </w:pPr>
            <w:r>
              <w:rPr>
                <w:rFonts w:ascii="Arial" w:cs="Arial" w:eastAsia="Arial" w:hAnsi="Arial"/>
                <w:sz w:val="18"/>
                <w:szCs w:val="18"/>
                <w:color w:val="auto"/>
              </w:rPr>
              <w:t>Duration</w:t>
            </w:r>
            <w:r>
              <w:rPr>
                <w:rFonts w:ascii="Arial" w:cs="Arial" w:eastAsia="Arial" w:hAnsi="Arial"/>
                <w:sz w:val="23"/>
                <w:szCs w:val="23"/>
                <w:color w:val="auto"/>
                <w:vertAlign w:val="superscript"/>
              </w:rPr>
              <w:t>2</w:t>
            </w:r>
          </w:p>
        </w:tc>
        <w:tc>
          <w:tcPr>
            <w:tcW w:w="2440" w:type="dxa"/>
            <w:vAlign w:val="bottom"/>
          </w:tcPr>
          <w:p>
            <w:pPr>
              <w:jc w:val="center"/>
              <w:ind w:left="190"/>
              <w:spacing w:after="0"/>
              <w:rPr>
                <w:sz w:val="20"/>
                <w:szCs w:val="20"/>
                <w:color w:val="auto"/>
              </w:rPr>
            </w:pPr>
            <w:r>
              <w:rPr>
                <w:rFonts w:ascii="Arial" w:cs="Arial" w:eastAsia="Arial" w:hAnsi="Arial"/>
                <w:sz w:val="18"/>
                <w:szCs w:val="18"/>
                <w:color w:val="auto"/>
                <w:w w:val="91"/>
              </w:rPr>
              <w:t>Trading Arrangement</w:t>
            </w:r>
          </w:p>
        </w:tc>
      </w:tr>
      <w:tr>
        <w:trPr>
          <w:trHeight w:val="182"/>
        </w:trPr>
        <w:tc>
          <w:tcPr>
            <w:tcW w:w="3160" w:type="dxa"/>
            <w:vAlign w:val="bottom"/>
            <w:tcBorders>
              <w:top w:val="single" w:sz="8" w:color="auto"/>
            </w:tcBorders>
            <w:shd w:val="clear" w:color="auto" w:fill="CCEEFF"/>
          </w:tcPr>
          <w:p>
            <w:pPr>
              <w:ind w:left="20"/>
              <w:spacing w:after="0" w:line="182" w:lineRule="exact"/>
              <w:rPr>
                <w:sz w:val="20"/>
                <w:szCs w:val="20"/>
                <w:color w:val="auto"/>
              </w:rPr>
            </w:pPr>
            <w:r>
              <w:rPr>
                <w:rFonts w:ascii="Arial" w:cs="Arial" w:eastAsia="Arial" w:hAnsi="Arial"/>
                <w:sz w:val="18"/>
                <w:szCs w:val="18"/>
                <w:color w:val="auto"/>
              </w:rPr>
              <w:t>Yogesh Gupta,</w:t>
            </w:r>
          </w:p>
        </w:tc>
        <w:tc>
          <w:tcPr>
            <w:tcW w:w="100" w:type="dxa"/>
            <w:vAlign w:val="bottom"/>
            <w:tcBorders>
              <w:top w:val="single" w:sz="8" w:color="CCEEFF"/>
            </w:tcBorders>
            <w:shd w:val="clear" w:color="auto" w:fill="CCEEFF"/>
          </w:tcPr>
          <w:p>
            <w:pPr>
              <w:spacing w:after="0"/>
              <w:rPr>
                <w:sz w:val="15"/>
                <w:szCs w:val="15"/>
                <w:color w:val="auto"/>
              </w:rPr>
            </w:pPr>
          </w:p>
        </w:tc>
        <w:tc>
          <w:tcPr>
            <w:tcW w:w="2040" w:type="dxa"/>
            <w:vAlign w:val="bottom"/>
            <w:tcBorders>
              <w:top w:val="single" w:sz="8" w:color="auto"/>
            </w:tcBorders>
            <w:shd w:val="clear" w:color="auto" w:fill="CCEEFF"/>
          </w:tcPr>
          <w:p>
            <w:pPr>
              <w:ind w:left="20"/>
              <w:spacing w:after="0" w:line="182" w:lineRule="exact"/>
              <w:rPr>
                <w:sz w:val="20"/>
                <w:szCs w:val="20"/>
                <w:color w:val="auto"/>
              </w:rPr>
            </w:pPr>
            <w:r>
              <w:rPr>
                <w:rFonts w:ascii="Arial" w:cs="Arial" w:eastAsia="Arial" w:hAnsi="Arial"/>
                <w:sz w:val="18"/>
                <w:szCs w:val="18"/>
                <w:color w:val="auto"/>
              </w:rPr>
              <w:t>Rule 10b5-1</w:t>
            </w:r>
          </w:p>
        </w:tc>
        <w:tc>
          <w:tcPr>
            <w:tcW w:w="10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spacing w:after="0"/>
              <w:rPr>
                <w:sz w:val="15"/>
                <w:szCs w:val="15"/>
                <w:color w:val="auto"/>
              </w:rPr>
            </w:pPr>
          </w:p>
        </w:tc>
        <w:tc>
          <w:tcPr>
            <w:tcW w:w="1900" w:type="dxa"/>
            <w:vAlign w:val="bottom"/>
            <w:tcBorders>
              <w:top w:val="single" w:sz="8" w:color="auto"/>
            </w:tcBorders>
            <w:shd w:val="clear" w:color="auto" w:fill="CCEEFF"/>
          </w:tcPr>
          <w:p>
            <w:pPr>
              <w:spacing w:after="0"/>
              <w:rPr>
                <w:sz w:val="15"/>
                <w:szCs w:val="15"/>
                <w:color w:val="auto"/>
              </w:rPr>
            </w:pPr>
          </w:p>
        </w:tc>
        <w:tc>
          <w:tcPr>
            <w:tcW w:w="2440" w:type="dxa"/>
            <w:vAlign w:val="bottom"/>
            <w:tcBorders>
              <w:top w:val="single" w:sz="8" w:color="auto"/>
            </w:tcBorders>
            <w:shd w:val="clear" w:color="auto" w:fill="CCEEFF"/>
          </w:tcPr>
          <w:p>
            <w:pPr>
              <w:spacing w:after="0"/>
              <w:rPr>
                <w:sz w:val="15"/>
                <w:szCs w:val="15"/>
                <w:color w:val="auto"/>
              </w:rPr>
            </w:pPr>
          </w:p>
        </w:tc>
      </w:tr>
      <w:tr>
        <w:trPr>
          <w:trHeight w:val="271"/>
        </w:trPr>
        <w:tc>
          <w:tcPr>
            <w:tcW w:w="3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President and CEO</w:t>
            </w:r>
          </w:p>
        </w:tc>
        <w:tc>
          <w:tcPr>
            <w:tcW w:w="2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Trading Arrangement</w:t>
            </w:r>
          </w:p>
        </w:tc>
        <w:tc>
          <w:tcPr>
            <w:tcW w:w="1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August 11, 2023</w:t>
            </w:r>
          </w:p>
        </w:tc>
        <w:tc>
          <w:tcPr>
            <w:tcW w:w="1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October 15, 2024</w:t>
            </w:r>
          </w:p>
        </w:tc>
        <w:tc>
          <w:tcPr>
            <w:tcW w:w="24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Up to 153,836</w:t>
            </w:r>
            <w:r>
              <w:rPr>
                <w:rFonts w:ascii="Arial" w:cs="Arial" w:eastAsia="Arial" w:hAnsi="Arial"/>
                <w:sz w:val="23"/>
                <w:szCs w:val="23"/>
                <w:color w:val="auto"/>
                <w:vertAlign w:val="superscript"/>
              </w:rPr>
              <w:t>3</w:t>
            </w:r>
          </w:p>
        </w:tc>
      </w:tr>
      <w:tr>
        <w:trPr>
          <w:trHeight w:val="188"/>
        </w:trPr>
        <w:tc>
          <w:tcPr>
            <w:tcW w:w="326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Domenic LoCoco,</w:t>
            </w:r>
          </w:p>
        </w:tc>
        <w:tc>
          <w:tcPr>
            <w:tcW w:w="214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Rule 10b5-1</w:t>
            </w:r>
          </w:p>
        </w:tc>
        <w:tc>
          <w:tcPr>
            <w:tcW w:w="15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440" w:type="dxa"/>
            <w:vAlign w:val="bottom"/>
          </w:tcPr>
          <w:p>
            <w:pPr>
              <w:spacing w:after="0"/>
              <w:rPr>
                <w:sz w:val="16"/>
                <w:szCs w:val="16"/>
                <w:color w:val="auto"/>
              </w:rPr>
            </w:pPr>
          </w:p>
        </w:tc>
      </w:tr>
      <w:tr>
        <w:trPr>
          <w:trHeight w:val="271"/>
        </w:trPr>
        <w:tc>
          <w:tcPr>
            <w:tcW w:w="3260" w:type="dxa"/>
            <w:vAlign w:val="bottom"/>
            <w:gridSpan w:val="2"/>
          </w:tcPr>
          <w:p>
            <w:pPr>
              <w:ind w:left="20"/>
              <w:spacing w:after="0"/>
              <w:rPr>
                <w:sz w:val="20"/>
                <w:szCs w:val="20"/>
                <w:color w:val="auto"/>
              </w:rPr>
            </w:pPr>
            <w:r>
              <w:rPr>
                <w:rFonts w:ascii="Arial" w:cs="Arial" w:eastAsia="Arial" w:hAnsi="Arial"/>
                <w:sz w:val="18"/>
                <w:szCs w:val="18"/>
                <w:color w:val="auto"/>
              </w:rPr>
              <w:t>SVP, Chief Accounting Officer</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Trading Arrangement</w:t>
            </w:r>
          </w:p>
        </w:tc>
        <w:tc>
          <w:tcPr>
            <w:tcW w:w="1500" w:type="dxa"/>
            <w:vAlign w:val="bottom"/>
          </w:tcPr>
          <w:p>
            <w:pPr>
              <w:ind w:left="20"/>
              <w:spacing w:after="0"/>
              <w:rPr>
                <w:sz w:val="20"/>
                <w:szCs w:val="20"/>
                <w:color w:val="auto"/>
              </w:rPr>
            </w:pPr>
            <w:r>
              <w:rPr>
                <w:rFonts w:ascii="Arial" w:cs="Arial" w:eastAsia="Arial" w:hAnsi="Arial"/>
                <w:sz w:val="18"/>
                <w:szCs w:val="18"/>
                <w:color w:val="auto"/>
              </w:rPr>
              <w:t>August 9, 2023</w:t>
            </w:r>
          </w:p>
        </w:tc>
        <w:tc>
          <w:tcPr>
            <w:tcW w:w="1900" w:type="dxa"/>
            <w:vAlign w:val="bottom"/>
          </w:tcPr>
          <w:p>
            <w:pPr>
              <w:ind w:left="200"/>
              <w:spacing w:after="0"/>
              <w:rPr>
                <w:sz w:val="20"/>
                <w:szCs w:val="20"/>
                <w:color w:val="auto"/>
              </w:rPr>
            </w:pPr>
            <w:r>
              <w:rPr>
                <w:rFonts w:ascii="Arial" w:cs="Arial" w:eastAsia="Arial" w:hAnsi="Arial"/>
                <w:sz w:val="18"/>
                <w:szCs w:val="18"/>
                <w:color w:val="auto"/>
              </w:rPr>
              <w:t>December 1, 2024</w:t>
            </w:r>
          </w:p>
        </w:tc>
        <w:tc>
          <w:tcPr>
            <w:tcW w:w="2440" w:type="dxa"/>
            <w:vAlign w:val="bottom"/>
          </w:tcPr>
          <w:p>
            <w:pPr>
              <w:ind w:left="280"/>
              <w:spacing w:after="0"/>
              <w:rPr>
                <w:sz w:val="20"/>
                <w:szCs w:val="20"/>
                <w:color w:val="auto"/>
              </w:rPr>
            </w:pPr>
            <w:r>
              <w:rPr>
                <w:rFonts w:ascii="Arial" w:cs="Arial" w:eastAsia="Arial" w:hAnsi="Arial"/>
                <w:sz w:val="18"/>
                <w:szCs w:val="18"/>
                <w:color w:val="auto"/>
              </w:rPr>
              <w:t>16,318</w:t>
            </w:r>
            <w:r>
              <w:rPr>
                <w:rFonts w:ascii="Arial" w:cs="Arial" w:eastAsia="Arial" w:hAnsi="Arial"/>
                <w:sz w:val="23"/>
                <w:szCs w:val="23"/>
                <w:color w:val="auto"/>
                <w:vertAlign w:val="superscript"/>
              </w:rPr>
              <w:t>4</w:t>
            </w:r>
          </w:p>
        </w:tc>
      </w:tr>
      <w:tr>
        <w:trPr>
          <w:trHeight w:val="188"/>
        </w:trPr>
        <w:tc>
          <w:tcPr>
            <w:tcW w:w="326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Ian Pitt,</w:t>
            </w:r>
          </w:p>
        </w:tc>
        <w:tc>
          <w:tcPr>
            <w:tcW w:w="214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Rule 10b5-1</w:t>
            </w:r>
          </w:p>
        </w:tc>
        <w:tc>
          <w:tcPr>
            <w:tcW w:w="150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2440" w:type="dxa"/>
            <w:vAlign w:val="bottom"/>
            <w:shd w:val="clear" w:color="auto" w:fill="CCEEFF"/>
          </w:tcPr>
          <w:p>
            <w:pPr>
              <w:spacing w:after="0"/>
              <w:rPr>
                <w:sz w:val="16"/>
                <w:szCs w:val="16"/>
                <w:color w:val="auto"/>
              </w:rPr>
            </w:pPr>
          </w:p>
        </w:tc>
      </w:tr>
      <w:tr>
        <w:trPr>
          <w:trHeight w:val="271"/>
        </w:trPr>
        <w:tc>
          <w:tcPr>
            <w:tcW w:w="3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EVP &amp; Chief Information Officer</w:t>
            </w:r>
          </w:p>
        </w:tc>
        <w:tc>
          <w:tcPr>
            <w:tcW w:w="2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Trading Arrangement</w:t>
            </w:r>
          </w:p>
        </w:tc>
        <w:tc>
          <w:tcPr>
            <w:tcW w:w="1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August 18, 2023</w:t>
            </w:r>
          </w:p>
        </w:tc>
        <w:tc>
          <w:tcPr>
            <w:tcW w:w="1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August 30, 2024</w:t>
            </w:r>
          </w:p>
        </w:tc>
        <w:tc>
          <w:tcPr>
            <w:tcW w:w="24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Up to 11,119</w:t>
            </w:r>
            <w:r>
              <w:rPr>
                <w:rFonts w:ascii="Arial" w:cs="Arial" w:eastAsia="Arial" w:hAnsi="Arial"/>
                <w:sz w:val="23"/>
                <w:szCs w:val="23"/>
                <w:color w:val="auto"/>
                <w:vertAlign w:val="superscript"/>
              </w:rPr>
              <w:t>5</w:t>
            </w:r>
          </w:p>
        </w:tc>
      </w:tr>
      <w:tr>
        <w:trPr>
          <w:trHeight w:val="188"/>
        </w:trPr>
        <w:tc>
          <w:tcPr>
            <w:tcW w:w="326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Sundar Subramanian,</w:t>
            </w:r>
          </w:p>
        </w:tc>
        <w:tc>
          <w:tcPr>
            <w:tcW w:w="214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Rule 10b5-1</w:t>
            </w:r>
          </w:p>
        </w:tc>
        <w:tc>
          <w:tcPr>
            <w:tcW w:w="15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440" w:type="dxa"/>
            <w:vAlign w:val="bottom"/>
          </w:tcPr>
          <w:p>
            <w:pPr>
              <w:spacing w:after="0"/>
              <w:rPr>
                <w:sz w:val="16"/>
                <w:szCs w:val="16"/>
                <w:color w:val="auto"/>
              </w:rPr>
            </w:pPr>
          </w:p>
        </w:tc>
      </w:tr>
      <w:tr>
        <w:trPr>
          <w:trHeight w:val="244"/>
        </w:trPr>
        <w:tc>
          <w:tcPr>
            <w:tcW w:w="3260" w:type="dxa"/>
            <w:vAlign w:val="bottom"/>
            <w:gridSpan w:val="2"/>
          </w:tcPr>
          <w:p>
            <w:pPr>
              <w:ind w:left="20"/>
              <w:spacing w:after="0"/>
              <w:rPr>
                <w:sz w:val="20"/>
                <w:szCs w:val="20"/>
                <w:color w:val="auto"/>
              </w:rPr>
            </w:pPr>
            <w:r>
              <w:rPr>
                <w:rFonts w:ascii="Arial" w:cs="Arial" w:eastAsia="Arial" w:hAnsi="Arial"/>
                <w:sz w:val="18"/>
                <w:szCs w:val="18"/>
                <w:color w:val="auto"/>
              </w:rPr>
              <w:t>EVP &amp; GM, Infrastructure Management</w:t>
            </w: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Trading Arrangement</w:t>
            </w:r>
          </w:p>
        </w:tc>
        <w:tc>
          <w:tcPr>
            <w:tcW w:w="1500" w:type="dxa"/>
            <w:vAlign w:val="bottom"/>
          </w:tcPr>
          <w:p>
            <w:pPr>
              <w:ind w:left="20"/>
              <w:spacing w:after="0"/>
              <w:rPr>
                <w:sz w:val="20"/>
                <w:szCs w:val="20"/>
                <w:color w:val="auto"/>
              </w:rPr>
            </w:pPr>
            <w:r>
              <w:rPr>
                <w:rFonts w:ascii="Arial" w:cs="Arial" w:eastAsia="Arial" w:hAnsi="Arial"/>
                <w:sz w:val="18"/>
                <w:szCs w:val="18"/>
                <w:color w:val="auto"/>
              </w:rPr>
              <w:t>August 9, 2023</w:t>
            </w:r>
          </w:p>
        </w:tc>
        <w:tc>
          <w:tcPr>
            <w:tcW w:w="1900" w:type="dxa"/>
            <w:vAlign w:val="bottom"/>
          </w:tcPr>
          <w:p>
            <w:pPr>
              <w:ind w:left="200"/>
              <w:spacing w:after="0"/>
              <w:rPr>
                <w:sz w:val="20"/>
                <w:szCs w:val="20"/>
                <w:color w:val="auto"/>
              </w:rPr>
            </w:pPr>
            <w:r>
              <w:rPr>
                <w:rFonts w:ascii="Arial" w:cs="Arial" w:eastAsia="Arial" w:hAnsi="Arial"/>
                <w:sz w:val="18"/>
                <w:szCs w:val="18"/>
                <w:color w:val="auto"/>
              </w:rPr>
              <w:t>November 15, 2024</w:t>
            </w:r>
          </w:p>
        </w:tc>
        <w:tc>
          <w:tcPr>
            <w:tcW w:w="2440" w:type="dxa"/>
            <w:vAlign w:val="bottom"/>
          </w:tcPr>
          <w:p>
            <w:pPr>
              <w:ind w:left="280"/>
              <w:spacing w:after="0"/>
              <w:rPr>
                <w:sz w:val="20"/>
                <w:szCs w:val="20"/>
                <w:color w:val="auto"/>
              </w:rPr>
            </w:pPr>
            <w:r>
              <w:rPr>
                <w:rFonts w:ascii="Arial" w:cs="Arial" w:eastAsia="Arial" w:hAnsi="Arial"/>
                <w:sz w:val="18"/>
                <w:szCs w:val="18"/>
                <w:color w:val="auto"/>
              </w:rPr>
              <w:t>22,189</w:t>
            </w:r>
          </w:p>
        </w:tc>
      </w:tr>
    </w:tbl>
    <w:p>
      <w:pPr>
        <w:spacing w:after="0" w:line="328" w:lineRule="exact"/>
        <w:rPr>
          <w:sz w:val="20"/>
          <w:szCs w:val="20"/>
          <w:color w:val="auto"/>
        </w:rPr>
      </w:pPr>
    </w:p>
    <w:p>
      <w:pPr>
        <w:ind w:right="200" w:firstLine="8"/>
        <w:spacing w:after="0" w:line="275" w:lineRule="auto"/>
        <w:tabs>
          <w:tab w:leader="none" w:pos="162" w:val="left"/>
        </w:tabs>
        <w:numPr>
          <w:ilvl w:val="0"/>
          <w:numId w:val="4"/>
        </w:numPr>
        <w:rPr>
          <w:rFonts w:ascii="Arial" w:cs="Arial" w:eastAsia="Arial" w:hAnsi="Arial"/>
          <w:sz w:val="16"/>
          <w:szCs w:val="16"/>
          <w:color w:val="auto"/>
        </w:rPr>
      </w:pPr>
      <w:r>
        <w:rPr>
          <w:rFonts w:ascii="Arial" w:cs="Arial" w:eastAsia="Arial" w:hAnsi="Arial"/>
          <w:sz w:val="16"/>
          <w:szCs w:val="16"/>
          <w:color w:val="auto"/>
        </w:rPr>
        <w:t>Except as indicated by footnote, each trading arrangement marked as a “Rule 10b5-1 Trading Arrangement” is intended to satisfy the affirmative defense of Rule 10b5-1(c), as amended (the “Rule”).</w:t>
      </w:r>
    </w:p>
    <w:p>
      <w:pPr>
        <w:spacing w:after="0" w:line="185" w:lineRule="exact"/>
        <w:rPr>
          <w:rFonts w:ascii="Arial" w:cs="Arial" w:eastAsia="Arial" w:hAnsi="Arial"/>
          <w:sz w:val="16"/>
          <w:szCs w:val="16"/>
          <w:color w:val="auto"/>
        </w:rPr>
      </w:pPr>
    </w:p>
    <w:p>
      <w:pPr>
        <w:ind w:right="140" w:firstLine="8"/>
        <w:spacing w:after="0" w:line="252" w:lineRule="auto"/>
        <w:tabs>
          <w:tab w:leader="none" w:pos="162" w:val="left"/>
        </w:tabs>
        <w:numPr>
          <w:ilvl w:val="0"/>
          <w:numId w:val="4"/>
        </w:numPr>
        <w:rPr>
          <w:rFonts w:ascii="Arial" w:cs="Arial" w:eastAsia="Arial" w:hAnsi="Arial"/>
          <w:sz w:val="16"/>
          <w:szCs w:val="16"/>
          <w:color w:val="auto"/>
        </w:rPr>
      </w:pPr>
      <w:r>
        <w:rPr>
          <w:rFonts w:ascii="Arial" w:cs="Arial" w:eastAsia="Arial" w:hAnsi="Arial"/>
          <w:sz w:val="16"/>
          <w:szCs w:val="16"/>
          <w:color w:val="auto"/>
        </w:rPr>
        <w:t>Except as indicated by footnote, each trading arrangement permits transactions through and including the earlier to occur of (a) the completion of all sales or (b) the date listed in the table. Each trading arrangement marked as a “Rule 10b5-1 Trading Arrangement” only permits transactions upon expiration of the applicable mandatory cooling-off period under the Rule.</w:t>
      </w:r>
    </w:p>
    <w:p>
      <w:pPr>
        <w:spacing w:after="0" w:line="203" w:lineRule="exact"/>
        <w:rPr>
          <w:rFonts w:ascii="Arial" w:cs="Arial" w:eastAsia="Arial" w:hAnsi="Arial"/>
          <w:sz w:val="16"/>
          <w:szCs w:val="16"/>
          <w:color w:val="auto"/>
        </w:rPr>
      </w:pPr>
    </w:p>
    <w:p>
      <w:pPr>
        <w:ind w:right="80" w:firstLine="8"/>
        <w:spacing w:after="0" w:line="275" w:lineRule="auto"/>
        <w:tabs>
          <w:tab w:leader="none" w:pos="162"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Includes: (i) 48,202 shares of our common stock; and (ii) all common stock, net of shares withheld to cover tax withholding obligations, to be issued upon the anticipated vesting of a maximum of 105,634 Performance Stock Units ("PSUs").</w:t>
      </w:r>
    </w:p>
    <w:p>
      <w:pPr>
        <w:spacing w:after="0" w:line="185" w:lineRule="exact"/>
        <w:rPr>
          <w:rFonts w:ascii="Arial" w:cs="Arial" w:eastAsia="Arial" w:hAnsi="Arial"/>
          <w:sz w:val="16"/>
          <w:szCs w:val="16"/>
          <w:color w:val="auto"/>
        </w:rPr>
      </w:pPr>
    </w:p>
    <w:p>
      <w:pPr>
        <w:ind w:left="180" w:hanging="172"/>
        <w:spacing w:after="0"/>
        <w:tabs>
          <w:tab w:leader="none" w:pos="18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Includes: (i) 1,036 shares of our common stock; and (ii) 15,282 employee stock options expected to be exercised via same-day sale.</w:t>
      </w:r>
    </w:p>
    <w:p>
      <w:pPr>
        <w:spacing w:after="0" w:line="248" w:lineRule="exact"/>
        <w:rPr>
          <w:rFonts w:ascii="Arial" w:cs="Arial" w:eastAsia="Arial" w:hAnsi="Arial"/>
          <w:sz w:val="16"/>
          <w:szCs w:val="16"/>
          <w:color w:val="auto"/>
        </w:rPr>
      </w:pPr>
    </w:p>
    <w:p>
      <w:pPr>
        <w:ind w:right="60" w:firstLine="8"/>
        <w:spacing w:after="0" w:line="277" w:lineRule="auto"/>
        <w:tabs>
          <w:tab w:leader="none" w:pos="162" w:val="left"/>
        </w:tabs>
        <w:numPr>
          <w:ilvl w:val="0"/>
          <w:numId w:val="4"/>
        </w:numPr>
        <w:rPr>
          <w:rFonts w:ascii="Arial" w:cs="Arial" w:eastAsia="Arial" w:hAnsi="Arial"/>
          <w:sz w:val="15"/>
          <w:szCs w:val="15"/>
          <w:color w:val="auto"/>
        </w:rPr>
      </w:pPr>
      <w:r>
        <w:rPr>
          <w:rFonts w:ascii="Arial" w:cs="Arial" w:eastAsia="Arial" w:hAnsi="Arial"/>
          <w:sz w:val="15"/>
          <w:szCs w:val="15"/>
          <w:color w:val="auto"/>
        </w:rPr>
        <w:t>Includes: (i) 3,806 shares of our common stock; (ii) 50% of the common stock, net of shares withheld to cover tax withholding obligations, to be issued upon the anticipated vesting of a maximum of 9,770 PSUs; (iii) 584 shares of common stock expected to be purchased under the Company’s Employee Stock Purchase Plan; and (iv) all common stock, net of shares withheld to cover tax withholding obligations, to be issued upon the anticipated vesting of 1,844 restricted stock units.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Item 6. 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or furnished as part of this Quarterly Report on Form 10-Q:</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2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 No.</w:t>
            </w:r>
          </w:p>
        </w:tc>
        <w:tc>
          <w:tcPr>
            <w:tcW w:w="9680" w:type="dxa"/>
            <w:vAlign w:val="bottom"/>
            <w:gridSpan w:val="4"/>
          </w:tcPr>
          <w:p>
            <w:pPr>
              <w:ind w:left="4400"/>
              <w:spacing w:after="0"/>
              <w:rPr>
                <w:sz w:val="20"/>
                <w:szCs w:val="20"/>
                <w:color w:val="auto"/>
              </w:rPr>
            </w:pPr>
            <w:r>
              <w:rPr>
                <w:rFonts w:ascii="Arial" w:cs="Arial" w:eastAsia="Arial" w:hAnsi="Arial"/>
                <w:sz w:val="18"/>
                <w:szCs w:val="18"/>
                <w:b w:val="1"/>
                <w:bCs w:val="1"/>
                <w:color w:val="auto"/>
              </w:rPr>
              <w:t>Description</w:t>
            </w:r>
          </w:p>
        </w:tc>
      </w:tr>
      <w:tr>
        <w:trPr>
          <w:trHeight w:val="425"/>
        </w:trPr>
        <w:tc>
          <w:tcPr>
            <w:tcW w:w="13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31.1*</w:t>
            </w:r>
          </w:p>
        </w:tc>
        <w:tc>
          <w:tcPr>
            <w:tcW w:w="120" w:type="dxa"/>
            <w:vAlign w:val="bottom"/>
          </w:tcPr>
          <w:p>
            <w:pPr>
              <w:spacing w:after="0"/>
              <w:rPr>
                <w:sz w:val="24"/>
                <w:szCs w:val="24"/>
                <w:color w:val="auto"/>
              </w:rPr>
            </w:pPr>
          </w:p>
        </w:tc>
        <w:tc>
          <w:tcPr>
            <w:tcW w:w="9680" w:type="dxa"/>
            <w:vAlign w:val="bottom"/>
            <w:tcBorders>
              <w:top w:val="single" w:sz="8" w:color="auto"/>
            </w:tcBorders>
            <w:gridSpan w:val="4"/>
          </w:tcPr>
          <w:p>
            <w:pPr>
              <w:ind w:left="20"/>
              <w:spacing w:after="0"/>
              <w:rPr>
                <w:sz w:val="20"/>
                <w:szCs w:val="20"/>
                <w:color w:val="auto"/>
              </w:rPr>
            </w:pPr>
            <w:r>
              <w:rPr>
                <w:rFonts w:ascii="Arial" w:cs="Arial" w:eastAsia="Arial" w:hAnsi="Arial"/>
                <w:sz w:val="18"/>
                <w:szCs w:val="18"/>
                <w:color w:val="0000FF"/>
              </w:rPr>
              <w:t>Certification of the Chief Executive Officer Pursuant to Section 302 of the Sarbanes-Oxley Act – Yogesh K. Gupta</w:t>
            </w:r>
          </w:p>
        </w:tc>
      </w:tr>
      <w:tr>
        <w:trPr>
          <w:trHeight w:val="466"/>
        </w:trPr>
        <w:tc>
          <w:tcPr>
            <w:tcW w:w="1300" w:type="dxa"/>
            <w:vAlign w:val="bottom"/>
          </w:tcPr>
          <w:p>
            <w:pPr>
              <w:jc w:val="center"/>
              <w:spacing w:after="0"/>
              <w:rPr>
                <w:sz w:val="20"/>
                <w:szCs w:val="20"/>
                <w:color w:val="auto"/>
              </w:rPr>
            </w:pPr>
            <w:r>
              <w:rPr>
                <w:rFonts w:ascii="Arial" w:cs="Arial" w:eastAsia="Arial" w:hAnsi="Arial"/>
                <w:sz w:val="18"/>
                <w:szCs w:val="18"/>
                <w:color w:val="auto"/>
                <w:w w:val="95"/>
              </w:rPr>
              <w:t>31.2*</w:t>
            </w:r>
          </w:p>
        </w:tc>
        <w:tc>
          <w:tcPr>
            <w:tcW w:w="120" w:type="dxa"/>
            <w:vAlign w:val="bottom"/>
          </w:tcPr>
          <w:p>
            <w:pPr>
              <w:spacing w:after="0"/>
              <w:rPr>
                <w:sz w:val="24"/>
                <w:szCs w:val="24"/>
                <w:color w:val="auto"/>
              </w:rPr>
            </w:pPr>
          </w:p>
        </w:tc>
        <w:tc>
          <w:tcPr>
            <w:tcW w:w="8280" w:type="dxa"/>
            <w:vAlign w:val="bottom"/>
            <w:tcBorders>
              <w:top w:val="single" w:sz="8" w:color="0000FF"/>
            </w:tcBorders>
            <w:gridSpan w:val="3"/>
          </w:tcPr>
          <w:p>
            <w:pPr>
              <w:ind w:left="20"/>
              <w:spacing w:after="0"/>
              <w:rPr>
                <w:sz w:val="20"/>
                <w:szCs w:val="20"/>
                <w:color w:val="auto"/>
              </w:rPr>
            </w:pPr>
            <w:r>
              <w:rPr>
                <w:rFonts w:ascii="Arial" w:cs="Arial" w:eastAsia="Arial" w:hAnsi="Arial"/>
                <w:sz w:val="18"/>
                <w:szCs w:val="18"/>
                <w:color w:val="0000FF"/>
                <w:w w:val="93"/>
              </w:rPr>
              <w:t>Certification of the Chief Financial Officer Pursuant to Section 302 of the Sarbanes-Oxley Act – Anthony Folger</w:t>
            </w:r>
          </w:p>
        </w:tc>
        <w:tc>
          <w:tcPr>
            <w:tcW w:w="1400" w:type="dxa"/>
            <w:vAlign w:val="bottom"/>
          </w:tcPr>
          <w:p>
            <w:pPr>
              <w:spacing w:after="0"/>
              <w:rPr>
                <w:sz w:val="24"/>
                <w:szCs w:val="24"/>
                <w:color w:val="auto"/>
              </w:rPr>
            </w:pPr>
          </w:p>
        </w:tc>
      </w:tr>
      <w:tr>
        <w:trPr>
          <w:trHeight w:val="466"/>
        </w:trPr>
        <w:tc>
          <w:tcPr>
            <w:tcW w:w="1300" w:type="dxa"/>
            <w:vAlign w:val="bottom"/>
          </w:tcPr>
          <w:p>
            <w:pPr>
              <w:jc w:val="center"/>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4640" w:type="dxa"/>
            <w:vAlign w:val="bottom"/>
            <w:tcBorders>
              <w:top w:val="single" w:sz="8" w:color="0000FF"/>
              <w:bottom w:val="single" w:sz="8" w:color="0000FF"/>
            </w:tcBorders>
          </w:tcPr>
          <w:p>
            <w:pPr>
              <w:ind w:left="20"/>
              <w:spacing w:after="0"/>
              <w:rPr>
                <w:sz w:val="20"/>
                <w:szCs w:val="20"/>
                <w:color w:val="auto"/>
              </w:rPr>
            </w:pPr>
            <w:r>
              <w:rPr>
                <w:rFonts w:ascii="Arial" w:cs="Arial" w:eastAsia="Arial" w:hAnsi="Arial"/>
                <w:sz w:val="18"/>
                <w:szCs w:val="18"/>
                <w:color w:val="0000FF"/>
                <w:w w:val="90"/>
              </w:rPr>
              <w:t>Certification Pursuant to Section 906 of the Sarbanes-Oxley Act</w:t>
            </w:r>
          </w:p>
        </w:tc>
        <w:tc>
          <w:tcPr>
            <w:tcW w:w="3500" w:type="dxa"/>
            <w:vAlign w:val="bottom"/>
            <w:tcBorders>
              <w:top w:val="single" w:sz="8" w:color="0000FF"/>
            </w:tcBorders>
          </w:tcPr>
          <w:p>
            <w:pPr>
              <w:spacing w:after="0"/>
              <w:rPr>
                <w:sz w:val="24"/>
                <w:szCs w:val="24"/>
                <w:color w:val="auto"/>
              </w:rPr>
            </w:pPr>
          </w:p>
        </w:tc>
        <w:tc>
          <w:tcPr>
            <w:tcW w:w="1540" w:type="dxa"/>
            <w:vAlign w:val="bottom"/>
            <w:gridSpan w:val="2"/>
          </w:tcPr>
          <w:p>
            <w:pPr>
              <w:spacing w:after="0"/>
              <w:rPr>
                <w:sz w:val="24"/>
                <w:szCs w:val="24"/>
                <w:color w:val="auto"/>
              </w:rPr>
            </w:pPr>
          </w:p>
        </w:tc>
      </w:tr>
      <w:tr>
        <w:trPr>
          <w:trHeight w:val="453"/>
        </w:trPr>
        <w:tc>
          <w:tcPr>
            <w:tcW w:w="1300" w:type="dxa"/>
            <w:vAlign w:val="bottom"/>
          </w:tcPr>
          <w:p>
            <w:pPr>
              <w:jc w:val="center"/>
              <w:spacing w:after="0"/>
              <w:rPr>
                <w:sz w:val="20"/>
                <w:szCs w:val="20"/>
                <w:color w:val="auto"/>
              </w:rPr>
            </w:pPr>
            <w:r>
              <w:rPr>
                <w:rFonts w:ascii="Arial" w:cs="Arial" w:eastAsia="Arial" w:hAnsi="Arial"/>
                <w:sz w:val="18"/>
                <w:szCs w:val="18"/>
                <w:color w:val="auto"/>
                <w:w w:val="97"/>
              </w:rPr>
              <w:t>101*</w:t>
            </w:r>
          </w:p>
        </w:tc>
        <w:tc>
          <w:tcPr>
            <w:tcW w:w="120" w:type="dxa"/>
            <w:vAlign w:val="bottom"/>
          </w:tcPr>
          <w:p>
            <w:pPr>
              <w:spacing w:after="0"/>
              <w:rPr>
                <w:sz w:val="24"/>
                <w:szCs w:val="24"/>
                <w:color w:val="auto"/>
              </w:rPr>
            </w:pPr>
          </w:p>
        </w:tc>
        <w:tc>
          <w:tcPr>
            <w:tcW w:w="9680" w:type="dxa"/>
            <w:vAlign w:val="bottom"/>
            <w:gridSpan w:val="4"/>
          </w:tcPr>
          <w:p>
            <w:pPr>
              <w:ind w:left="20"/>
              <w:spacing w:after="0"/>
              <w:rPr>
                <w:sz w:val="20"/>
                <w:szCs w:val="20"/>
                <w:color w:val="auto"/>
              </w:rPr>
            </w:pPr>
            <w:r>
              <w:rPr>
                <w:rFonts w:ascii="Arial" w:cs="Arial" w:eastAsia="Arial" w:hAnsi="Arial"/>
                <w:sz w:val="18"/>
                <w:szCs w:val="18"/>
                <w:color w:val="auto"/>
                <w:w w:val="92"/>
              </w:rPr>
              <w:t>The following materials from Progress Software Corporation’s Quarterly Report on Form 10-Q for the three and nine months ended</w:t>
            </w:r>
          </w:p>
        </w:tc>
      </w:tr>
      <w:tr>
        <w:trPr>
          <w:trHeight w:val="188"/>
        </w:trPr>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80" w:type="dxa"/>
            <w:vAlign w:val="bottom"/>
            <w:gridSpan w:val="4"/>
          </w:tcPr>
          <w:p>
            <w:pPr>
              <w:ind w:left="20"/>
              <w:spacing w:after="0" w:line="189" w:lineRule="exact"/>
              <w:rPr>
                <w:sz w:val="20"/>
                <w:szCs w:val="20"/>
                <w:color w:val="auto"/>
              </w:rPr>
            </w:pPr>
            <w:r>
              <w:rPr>
                <w:rFonts w:ascii="Arial" w:cs="Arial" w:eastAsia="Arial" w:hAnsi="Arial"/>
                <w:sz w:val="18"/>
                <w:szCs w:val="18"/>
                <w:color w:val="auto"/>
                <w:w w:val="91"/>
              </w:rPr>
              <w:t>August 31, 2023, formatted in iXBRL (Inline eXtensible Business Reporting Language): (i) Condensed Consolidated Balance Sheets</w:t>
            </w:r>
          </w:p>
        </w:tc>
      </w:tr>
      <w:tr>
        <w:trPr>
          <w:trHeight w:val="176"/>
        </w:trPr>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80" w:type="dxa"/>
            <w:vAlign w:val="bottom"/>
            <w:gridSpan w:val="4"/>
          </w:tcPr>
          <w:p>
            <w:pPr>
              <w:ind w:left="20"/>
              <w:spacing w:after="0" w:line="176" w:lineRule="exact"/>
              <w:rPr>
                <w:sz w:val="20"/>
                <w:szCs w:val="20"/>
                <w:color w:val="auto"/>
              </w:rPr>
            </w:pPr>
            <w:r>
              <w:rPr>
                <w:rFonts w:ascii="Arial" w:cs="Arial" w:eastAsia="Arial" w:hAnsi="Arial"/>
                <w:sz w:val="18"/>
                <w:szCs w:val="18"/>
                <w:color w:val="auto"/>
                <w:w w:val="93"/>
              </w:rPr>
              <w:t>as of August 31, 2023 and November 30, 2022; (ii) Condensed Consolidated Statements of Income for the three and nine months</w:t>
            </w:r>
          </w:p>
        </w:tc>
      </w:tr>
      <w:tr>
        <w:trPr>
          <w:trHeight w:val="175"/>
        </w:trPr>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80" w:type="dxa"/>
            <w:vAlign w:val="bottom"/>
            <w:gridSpan w:val="4"/>
          </w:tcPr>
          <w:p>
            <w:pPr>
              <w:ind w:left="20"/>
              <w:spacing w:after="0" w:line="176" w:lineRule="exact"/>
              <w:rPr>
                <w:sz w:val="20"/>
                <w:szCs w:val="20"/>
                <w:color w:val="auto"/>
              </w:rPr>
            </w:pPr>
            <w:r>
              <w:rPr>
                <w:rFonts w:ascii="Arial" w:cs="Arial" w:eastAsia="Arial" w:hAnsi="Arial"/>
                <w:sz w:val="18"/>
                <w:szCs w:val="18"/>
                <w:color w:val="auto"/>
                <w:w w:val="91"/>
              </w:rPr>
              <w:t>ended August 31, 2023 and 2022; (iii) Condensed Consolidated Statements of Comprehensive Income for the three and nine months</w:t>
            </w:r>
          </w:p>
        </w:tc>
      </w:tr>
      <w:tr>
        <w:trPr>
          <w:trHeight w:val="188"/>
        </w:trPr>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80" w:type="dxa"/>
            <w:vAlign w:val="bottom"/>
            <w:gridSpan w:val="4"/>
          </w:tcPr>
          <w:p>
            <w:pPr>
              <w:ind w:left="20"/>
              <w:spacing w:after="0" w:line="189" w:lineRule="exact"/>
              <w:rPr>
                <w:sz w:val="20"/>
                <w:szCs w:val="20"/>
                <w:color w:val="auto"/>
              </w:rPr>
            </w:pPr>
            <w:r>
              <w:rPr>
                <w:rFonts w:ascii="Arial" w:cs="Arial" w:eastAsia="Arial" w:hAnsi="Arial"/>
                <w:sz w:val="18"/>
                <w:szCs w:val="18"/>
                <w:color w:val="auto"/>
                <w:w w:val="93"/>
              </w:rPr>
              <w:t>ended August 31, 2023 and 2022; (iv) Condensed Consolidated Statements of Stockholders' Equity for the three and nine months</w:t>
            </w:r>
          </w:p>
        </w:tc>
      </w:tr>
      <w:tr>
        <w:trPr>
          <w:trHeight w:val="176"/>
        </w:trPr>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80" w:type="dxa"/>
            <w:vAlign w:val="bottom"/>
            <w:gridSpan w:val="4"/>
          </w:tcPr>
          <w:p>
            <w:pPr>
              <w:ind w:left="20"/>
              <w:spacing w:after="0" w:line="176" w:lineRule="exact"/>
              <w:rPr>
                <w:sz w:val="20"/>
                <w:szCs w:val="20"/>
                <w:color w:val="auto"/>
              </w:rPr>
            </w:pPr>
            <w:r>
              <w:rPr>
                <w:rFonts w:ascii="Arial" w:cs="Arial" w:eastAsia="Arial" w:hAnsi="Arial"/>
                <w:sz w:val="18"/>
                <w:szCs w:val="18"/>
                <w:color w:val="auto"/>
                <w:w w:val="89"/>
              </w:rPr>
              <w:t>ended August 31, 2023 and 2022; (v) Condensed Consolidated Statements of Cash Flows for the three and nine months ended August</w:t>
            </w:r>
          </w:p>
        </w:tc>
      </w:tr>
      <w:tr>
        <w:trPr>
          <w:trHeight w:val="230"/>
        </w:trPr>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80" w:type="dxa"/>
            <w:vAlign w:val="bottom"/>
            <w:gridSpan w:val="4"/>
          </w:tcPr>
          <w:p>
            <w:pPr>
              <w:ind w:left="20"/>
              <w:spacing w:after="0"/>
              <w:rPr>
                <w:sz w:val="20"/>
                <w:szCs w:val="20"/>
                <w:color w:val="auto"/>
              </w:rPr>
            </w:pPr>
            <w:r>
              <w:rPr>
                <w:rFonts w:ascii="Arial" w:cs="Arial" w:eastAsia="Arial" w:hAnsi="Arial"/>
                <w:sz w:val="18"/>
                <w:szCs w:val="18"/>
                <w:color w:val="auto"/>
              </w:rPr>
              <w:t>31, 2023 and 2022; and (vi) Notes to Condensed Consolidated Financial Statements.</w:t>
            </w:r>
          </w:p>
        </w:tc>
      </w:tr>
      <w:tr>
        <w:trPr>
          <w:trHeight w:val="485"/>
        </w:trPr>
        <w:tc>
          <w:tcPr>
            <w:tcW w:w="1300" w:type="dxa"/>
            <w:vAlign w:val="bottom"/>
          </w:tcPr>
          <w:p>
            <w:pPr>
              <w:jc w:val="center"/>
              <w:spacing w:after="0"/>
              <w:rPr>
                <w:sz w:val="20"/>
                <w:szCs w:val="20"/>
                <w:color w:val="auto"/>
              </w:rPr>
            </w:pPr>
            <w:r>
              <w:rPr>
                <w:rFonts w:ascii="Arial" w:cs="Arial" w:eastAsia="Arial" w:hAnsi="Arial"/>
                <w:sz w:val="18"/>
                <w:szCs w:val="18"/>
                <w:color w:val="auto"/>
                <w:w w:val="93"/>
              </w:rPr>
              <w:t>104</w:t>
            </w:r>
          </w:p>
        </w:tc>
        <w:tc>
          <w:tcPr>
            <w:tcW w:w="120" w:type="dxa"/>
            <w:vAlign w:val="bottom"/>
          </w:tcPr>
          <w:p>
            <w:pPr>
              <w:spacing w:after="0"/>
              <w:rPr>
                <w:sz w:val="24"/>
                <w:szCs w:val="24"/>
                <w:color w:val="auto"/>
              </w:rPr>
            </w:pPr>
          </w:p>
        </w:tc>
        <w:tc>
          <w:tcPr>
            <w:tcW w:w="9680" w:type="dxa"/>
            <w:vAlign w:val="bottom"/>
            <w:gridSpan w:val="4"/>
          </w:tcPr>
          <w:p>
            <w:pPr>
              <w:ind w:left="20"/>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400" w:lineRule="exact"/>
        <w:rPr>
          <w:sz w:val="20"/>
          <w:szCs w:val="20"/>
          <w:color w:val="auto"/>
        </w:rPr>
      </w:pPr>
    </w:p>
    <w:p>
      <w:pPr>
        <w:ind w:left="560"/>
        <w:spacing w:after="0"/>
        <w:rPr>
          <w:sz w:val="20"/>
          <w:szCs w:val="20"/>
          <w:color w:val="auto"/>
        </w:rPr>
      </w:pPr>
      <w:r>
        <w:rPr>
          <w:rFonts w:ascii="Arial" w:cs="Arial" w:eastAsia="Arial" w:hAnsi="Arial"/>
          <w:sz w:val="14"/>
          <w:szCs w:val="14"/>
          <w:color w:val="auto"/>
        </w:rPr>
        <w:t>* Filed herewith</w:t>
      </w:r>
    </w:p>
    <w:p>
      <w:pPr>
        <w:spacing w:after="0" w:line="42" w:lineRule="exact"/>
        <w:rPr>
          <w:sz w:val="20"/>
          <w:szCs w:val="20"/>
          <w:color w:val="auto"/>
        </w:rPr>
      </w:pPr>
    </w:p>
    <w:p>
      <w:pPr>
        <w:ind w:left="500"/>
        <w:spacing w:after="0"/>
        <w:rPr>
          <w:sz w:val="20"/>
          <w:szCs w:val="20"/>
          <w:color w:val="auto"/>
        </w:rPr>
      </w:pPr>
      <w:r>
        <w:rPr>
          <w:rFonts w:ascii="Arial" w:cs="Arial" w:eastAsia="Arial" w:hAnsi="Arial"/>
          <w:sz w:val="14"/>
          <w:szCs w:val="14"/>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891" w:right="479" w:bottom="1440" w:gutter="0" w:footer="0" w:header="0"/>
        </w:sectPr>
      </w:pPr>
    </w:p>
    <w:bookmarkStart w:id="40" w:name="page41"/>
    <w:bookmarkEnd w:id="40"/>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68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7200" w:type="dxa"/>
            <w:vAlign w:val="bottom"/>
            <w:gridSpan w:val="3"/>
          </w:tcPr>
          <w:p>
            <w:pPr>
              <w:jc w:val="center"/>
              <w:ind w:right="4000"/>
              <w:spacing w:after="0"/>
              <w:rPr>
                <w:sz w:val="20"/>
                <w:szCs w:val="20"/>
                <w:color w:val="auto"/>
              </w:rPr>
            </w:pPr>
            <w:r>
              <w:rPr>
                <w:rFonts w:ascii="Arial" w:cs="Arial" w:eastAsia="Arial" w:hAnsi="Arial"/>
                <w:sz w:val="18"/>
                <w:szCs w:val="18"/>
                <w:color w:val="auto"/>
                <w:w w:val="91"/>
              </w:rPr>
              <w:t>PROGRESS SOFTWARE CORPORATION</w:t>
            </w:r>
          </w:p>
        </w:tc>
      </w:tr>
      <w:tr>
        <w:trPr>
          <w:trHeight w:val="237"/>
        </w:trPr>
        <w:tc>
          <w:tcPr>
            <w:tcW w:w="68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320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1"/>
              </w:rPr>
              <w:t>(Registrant)</w:t>
            </w:r>
          </w:p>
        </w:tc>
        <w:tc>
          <w:tcPr>
            <w:tcW w:w="4000" w:type="dxa"/>
            <w:vAlign w:val="bottom"/>
          </w:tcPr>
          <w:p>
            <w:pPr>
              <w:spacing w:after="0"/>
              <w:rPr>
                <w:sz w:val="20"/>
                <w:szCs w:val="20"/>
                <w:color w:val="auto"/>
              </w:rPr>
            </w:pPr>
          </w:p>
        </w:tc>
      </w:tr>
      <w:tr>
        <w:trPr>
          <w:trHeight w:val="540"/>
        </w:trPr>
        <w:tc>
          <w:tcPr>
            <w:tcW w:w="680" w:type="dxa"/>
            <w:vAlign w:val="bottom"/>
          </w:tcPr>
          <w:p>
            <w:pPr>
              <w:spacing w:after="0"/>
              <w:rPr>
                <w:sz w:val="20"/>
                <w:szCs w:val="20"/>
                <w:color w:val="auto"/>
              </w:rPr>
            </w:pPr>
            <w:r>
              <w:rPr>
                <w:rFonts w:ascii="Arial" w:cs="Arial" w:eastAsia="Arial" w:hAnsi="Arial"/>
                <w:sz w:val="18"/>
                <w:szCs w:val="18"/>
                <w:color w:val="auto"/>
              </w:rPr>
              <w:t>Dated:</w:t>
            </w:r>
          </w:p>
        </w:tc>
        <w:tc>
          <w:tcPr>
            <w:tcW w:w="3320" w:type="dxa"/>
            <w:vAlign w:val="bottom"/>
          </w:tcPr>
          <w:p>
            <w:pPr>
              <w:ind w:left="200"/>
              <w:spacing w:after="0"/>
              <w:rPr>
                <w:sz w:val="20"/>
                <w:szCs w:val="20"/>
                <w:color w:val="auto"/>
              </w:rPr>
            </w:pPr>
            <w:r>
              <w:rPr>
                <w:rFonts w:ascii="Arial" w:cs="Arial" w:eastAsia="Arial" w:hAnsi="Arial"/>
                <w:sz w:val="18"/>
                <w:szCs w:val="18"/>
                <w:color w:val="auto"/>
              </w:rPr>
              <w:t>October 10, 2023</w:t>
            </w:r>
          </w:p>
        </w:tc>
        <w:tc>
          <w:tcPr>
            <w:tcW w:w="1840" w:type="dxa"/>
            <w:vAlign w:val="bottom"/>
          </w:tcPr>
          <w:p>
            <w:pPr>
              <w:spacing w:after="0"/>
              <w:rPr>
                <w:sz w:val="24"/>
                <w:szCs w:val="24"/>
                <w:color w:val="auto"/>
              </w:rPr>
            </w:pPr>
          </w:p>
        </w:tc>
        <w:tc>
          <w:tcPr>
            <w:tcW w:w="53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YOGESH K. GUPTA</w:t>
            </w:r>
          </w:p>
        </w:tc>
      </w:tr>
      <w:tr>
        <w:trPr>
          <w:trHeight w:val="222"/>
        </w:trPr>
        <w:tc>
          <w:tcPr>
            <w:tcW w:w="68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color w:val="auto"/>
              </w:rPr>
              <w:t>Yogesh K. Gupta</w:t>
            </w:r>
          </w:p>
        </w:tc>
      </w:tr>
      <w:tr>
        <w:trPr>
          <w:trHeight w:val="230"/>
        </w:trPr>
        <w:tc>
          <w:tcPr>
            <w:tcW w:w="68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68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color w:val="auto"/>
              </w:rPr>
              <w:t>(Principal Executive Officer)</w:t>
            </w:r>
          </w:p>
        </w:tc>
      </w:tr>
      <w:tr>
        <w:trPr>
          <w:trHeight w:val="499"/>
        </w:trPr>
        <w:tc>
          <w:tcPr>
            <w:tcW w:w="680" w:type="dxa"/>
            <w:vAlign w:val="bottom"/>
          </w:tcPr>
          <w:p>
            <w:pPr>
              <w:spacing w:after="0"/>
              <w:rPr>
                <w:sz w:val="20"/>
                <w:szCs w:val="20"/>
                <w:color w:val="auto"/>
              </w:rPr>
            </w:pPr>
            <w:r>
              <w:rPr>
                <w:rFonts w:ascii="Arial" w:cs="Arial" w:eastAsia="Arial" w:hAnsi="Arial"/>
                <w:sz w:val="18"/>
                <w:szCs w:val="18"/>
                <w:color w:val="auto"/>
              </w:rPr>
              <w:t>Dated:</w:t>
            </w:r>
          </w:p>
        </w:tc>
        <w:tc>
          <w:tcPr>
            <w:tcW w:w="3320" w:type="dxa"/>
            <w:vAlign w:val="bottom"/>
          </w:tcPr>
          <w:p>
            <w:pPr>
              <w:ind w:left="200"/>
              <w:spacing w:after="0"/>
              <w:rPr>
                <w:sz w:val="20"/>
                <w:szCs w:val="20"/>
                <w:color w:val="auto"/>
              </w:rPr>
            </w:pPr>
            <w:r>
              <w:rPr>
                <w:rFonts w:ascii="Arial" w:cs="Arial" w:eastAsia="Arial" w:hAnsi="Arial"/>
                <w:sz w:val="18"/>
                <w:szCs w:val="18"/>
                <w:color w:val="auto"/>
              </w:rPr>
              <w:t>October 10, 2023</w:t>
            </w:r>
          </w:p>
        </w:tc>
        <w:tc>
          <w:tcPr>
            <w:tcW w:w="1840" w:type="dxa"/>
            <w:vAlign w:val="bottom"/>
          </w:tcPr>
          <w:p>
            <w:pPr>
              <w:spacing w:after="0"/>
              <w:rPr>
                <w:sz w:val="24"/>
                <w:szCs w:val="24"/>
                <w:color w:val="auto"/>
              </w:rPr>
            </w:pPr>
          </w:p>
        </w:tc>
        <w:tc>
          <w:tcPr>
            <w:tcW w:w="53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ANTHONY FOLGER</w:t>
            </w:r>
          </w:p>
        </w:tc>
      </w:tr>
      <w:tr>
        <w:trPr>
          <w:trHeight w:val="222"/>
        </w:trPr>
        <w:tc>
          <w:tcPr>
            <w:tcW w:w="68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color w:val="auto"/>
              </w:rPr>
              <w:t>Anthony Folger</w:t>
            </w:r>
          </w:p>
        </w:tc>
      </w:tr>
      <w:tr>
        <w:trPr>
          <w:trHeight w:val="229"/>
        </w:trPr>
        <w:tc>
          <w:tcPr>
            <w:tcW w:w="68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30"/>
        </w:trPr>
        <w:tc>
          <w:tcPr>
            <w:tcW w:w="68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color w:val="auto"/>
              </w:rPr>
              <w:t>(Principal Financial Officer)</w:t>
            </w:r>
          </w:p>
        </w:tc>
      </w:tr>
      <w:tr>
        <w:trPr>
          <w:trHeight w:val="499"/>
        </w:trPr>
        <w:tc>
          <w:tcPr>
            <w:tcW w:w="680" w:type="dxa"/>
            <w:vAlign w:val="bottom"/>
          </w:tcPr>
          <w:p>
            <w:pPr>
              <w:spacing w:after="0"/>
              <w:rPr>
                <w:sz w:val="20"/>
                <w:szCs w:val="20"/>
                <w:color w:val="auto"/>
              </w:rPr>
            </w:pPr>
            <w:r>
              <w:rPr>
                <w:rFonts w:ascii="Arial" w:cs="Arial" w:eastAsia="Arial" w:hAnsi="Arial"/>
                <w:sz w:val="18"/>
                <w:szCs w:val="18"/>
                <w:color w:val="auto"/>
              </w:rPr>
              <w:t>Dated:</w:t>
            </w:r>
          </w:p>
        </w:tc>
        <w:tc>
          <w:tcPr>
            <w:tcW w:w="3320" w:type="dxa"/>
            <w:vAlign w:val="bottom"/>
          </w:tcPr>
          <w:p>
            <w:pPr>
              <w:ind w:left="200"/>
              <w:spacing w:after="0"/>
              <w:rPr>
                <w:sz w:val="20"/>
                <w:szCs w:val="20"/>
                <w:color w:val="auto"/>
              </w:rPr>
            </w:pPr>
            <w:r>
              <w:rPr>
                <w:rFonts w:ascii="Arial" w:cs="Arial" w:eastAsia="Arial" w:hAnsi="Arial"/>
                <w:sz w:val="18"/>
                <w:szCs w:val="18"/>
                <w:color w:val="auto"/>
              </w:rPr>
              <w:t>October 10, 2023</w:t>
            </w:r>
          </w:p>
        </w:tc>
        <w:tc>
          <w:tcPr>
            <w:tcW w:w="1840" w:type="dxa"/>
            <w:vAlign w:val="bottom"/>
          </w:tcPr>
          <w:p>
            <w:pPr>
              <w:spacing w:after="0"/>
              <w:rPr>
                <w:sz w:val="24"/>
                <w:szCs w:val="24"/>
                <w:color w:val="auto"/>
              </w:rPr>
            </w:pPr>
          </w:p>
        </w:tc>
        <w:tc>
          <w:tcPr>
            <w:tcW w:w="53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DOMENIC LOCOCO</w:t>
            </w:r>
          </w:p>
        </w:tc>
      </w:tr>
      <w:tr>
        <w:trPr>
          <w:trHeight w:val="222"/>
        </w:trPr>
        <w:tc>
          <w:tcPr>
            <w:tcW w:w="68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color w:val="auto"/>
              </w:rPr>
              <w:t>Domenic LoCoco</w:t>
            </w:r>
          </w:p>
        </w:tc>
      </w:tr>
      <w:tr>
        <w:trPr>
          <w:trHeight w:val="229"/>
        </w:trPr>
        <w:tc>
          <w:tcPr>
            <w:tcW w:w="68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color w:val="auto"/>
              </w:rPr>
              <w:t>Senior Vice President and Chief Accounting Officer</w:t>
            </w:r>
          </w:p>
        </w:tc>
      </w:tr>
      <w:tr>
        <w:trPr>
          <w:trHeight w:val="230"/>
        </w:trPr>
        <w:tc>
          <w:tcPr>
            <w:tcW w:w="68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color w:val="auto"/>
              </w:rPr>
              <w:t>(Principal Accounting Officer)</w:t>
            </w:r>
          </w:p>
        </w:tc>
      </w:tr>
      <w:tr>
        <w:trPr>
          <w:trHeight w:val="864"/>
        </w:trPr>
        <w:tc>
          <w:tcPr>
            <w:tcW w:w="6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840" w:type="dxa"/>
            <w:vAlign w:val="bottom"/>
          </w:tcPr>
          <w:p>
            <w:pPr>
              <w:jc w:val="center"/>
              <w:ind w:left="1290"/>
              <w:spacing w:after="0"/>
              <w:rPr>
                <w:sz w:val="20"/>
                <w:szCs w:val="20"/>
                <w:color w:val="auto"/>
              </w:rPr>
            </w:pPr>
            <w:r>
              <w:rPr>
                <w:rFonts w:ascii="Arial" w:cs="Arial" w:eastAsia="Arial" w:hAnsi="Arial"/>
                <w:sz w:val="18"/>
                <w:szCs w:val="18"/>
                <w:color w:val="auto"/>
                <w:w w:val="89"/>
              </w:rPr>
              <w:t>41</w:t>
            </w:r>
          </w:p>
        </w:tc>
        <w:tc>
          <w:tcPr>
            <w:tcW w:w="1360" w:type="dxa"/>
            <w:vAlign w:val="bottom"/>
          </w:tcPr>
          <w:p>
            <w:pPr>
              <w:spacing w:after="0"/>
              <w:rPr>
                <w:sz w:val="24"/>
                <w:szCs w:val="24"/>
                <w:color w:val="auto"/>
              </w:rPr>
            </w:pPr>
          </w:p>
        </w:tc>
        <w:tc>
          <w:tcPr>
            <w:tcW w:w="4000" w:type="dxa"/>
            <w:vAlign w:val="bottom"/>
          </w:tcPr>
          <w:p>
            <w:pPr>
              <w:spacing w:after="0"/>
              <w:rPr>
                <w:sz w:val="24"/>
                <w:szCs w:val="24"/>
                <w:color w:val="auto"/>
              </w:rPr>
            </w:pPr>
          </w:p>
        </w:tc>
      </w:tr>
    </w:tbl>
    <w:p>
      <w:pPr>
        <w:sectPr>
          <w:pgSz w:w="11900" w:h="16838" w:orient="portrait"/>
          <w:cols w:equalWidth="0" w:num="1">
            <w:col w:w="11220"/>
          </w:cols>
          <w:pgMar w:left="320" w:top="891" w:right="35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Yogesh K. Gupta, certify that:</w:t>
      </w:r>
    </w:p>
    <w:p>
      <w:pPr>
        <w:spacing w:after="0" w:line="252" w:lineRule="exact"/>
        <w:rPr>
          <w:sz w:val="20"/>
          <w:szCs w:val="20"/>
          <w:color w:val="auto"/>
        </w:rPr>
      </w:pPr>
    </w:p>
    <w:p>
      <w:pPr>
        <w:ind w:left="180" w:hanging="172"/>
        <w:spacing w:after="0"/>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Progress Software Corporation;</w:t>
      </w:r>
    </w:p>
    <w:p>
      <w:pPr>
        <w:spacing w:after="0" w:line="252"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right="20" w:firstLine="8"/>
        <w:spacing w:after="0" w:line="263" w:lineRule="auto"/>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660" w:right="260" w:hanging="4"/>
        <w:spacing w:after="0" w:line="255" w:lineRule="auto"/>
        <w:tabs>
          <w:tab w:leader="none" w:pos="845"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8"/>
          <w:szCs w:val="18"/>
          <w:color w:val="auto"/>
        </w:rPr>
      </w:pPr>
    </w:p>
    <w:p>
      <w:pPr>
        <w:ind w:left="660" w:right="60" w:hanging="4"/>
        <w:spacing w:after="0" w:line="250" w:lineRule="auto"/>
        <w:tabs>
          <w:tab w:leader="none" w:pos="855"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660" w:right="700" w:hanging="4"/>
        <w:spacing w:after="0" w:line="281" w:lineRule="auto"/>
        <w:tabs>
          <w:tab w:leader="none" w:pos="845" w:val="left"/>
        </w:tabs>
        <w:numPr>
          <w:ilvl w:val="1"/>
          <w:numId w:val="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660" w:right="80" w:hanging="4"/>
        <w:spacing w:after="0" w:line="255" w:lineRule="auto"/>
        <w:tabs>
          <w:tab w:leader="none" w:pos="855"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6" w:lineRule="exact"/>
        <w:rPr>
          <w:rFonts w:ascii="Arial" w:cs="Arial" w:eastAsia="Arial" w:hAnsi="Arial"/>
          <w:sz w:val="18"/>
          <w:szCs w:val="18"/>
          <w:color w:val="auto"/>
        </w:rPr>
      </w:pPr>
    </w:p>
    <w:p>
      <w:pPr>
        <w:ind w:right="480" w:firstLine="8"/>
        <w:spacing w:after="0" w:line="308" w:lineRule="auto"/>
        <w:tabs>
          <w:tab w:leader="none" w:pos="1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73" w:lineRule="exact"/>
        <w:rPr>
          <w:rFonts w:ascii="Arial" w:cs="Arial" w:eastAsia="Arial" w:hAnsi="Arial"/>
          <w:sz w:val="17"/>
          <w:szCs w:val="17"/>
          <w:color w:val="auto"/>
        </w:rPr>
      </w:pPr>
    </w:p>
    <w:p>
      <w:pPr>
        <w:ind w:left="660" w:right="100" w:hanging="4"/>
        <w:spacing w:after="0" w:line="258" w:lineRule="auto"/>
        <w:tabs>
          <w:tab w:leader="none" w:pos="845"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8"/>
          <w:szCs w:val="18"/>
          <w:color w:val="auto"/>
        </w:rPr>
      </w:pPr>
    </w:p>
    <w:p>
      <w:pPr>
        <w:ind w:left="660" w:right="40" w:hanging="4"/>
        <w:spacing w:after="0" w:line="260" w:lineRule="auto"/>
        <w:tabs>
          <w:tab w:leader="none" w:pos="855"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Date: October 10, 2023</w:t>
      </w: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YOGESH K.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13423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134235" cy="889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Yogesh K. Gupta</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and Chief Executive Officer</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891"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Anthony Folger, certify that:</w:t>
      </w:r>
    </w:p>
    <w:p>
      <w:pPr>
        <w:spacing w:after="0" w:line="252" w:lineRule="exact"/>
        <w:rPr>
          <w:sz w:val="20"/>
          <w:szCs w:val="20"/>
          <w:color w:val="auto"/>
        </w:rPr>
      </w:pPr>
    </w:p>
    <w:p>
      <w:pPr>
        <w:ind w:left="180" w:hanging="172"/>
        <w:spacing w:after="0"/>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Progress Software Corporation;</w:t>
      </w:r>
    </w:p>
    <w:p>
      <w:pPr>
        <w:spacing w:after="0" w:line="252"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right="20" w:firstLine="8"/>
        <w:spacing w:after="0" w:line="263" w:lineRule="auto"/>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660" w:right="260" w:hanging="4"/>
        <w:spacing w:after="0" w:line="255" w:lineRule="auto"/>
        <w:tabs>
          <w:tab w:leader="none" w:pos="845"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8"/>
          <w:szCs w:val="18"/>
          <w:color w:val="auto"/>
        </w:rPr>
      </w:pPr>
    </w:p>
    <w:p>
      <w:pPr>
        <w:ind w:left="660" w:right="60" w:hanging="4"/>
        <w:spacing w:after="0" w:line="250" w:lineRule="auto"/>
        <w:tabs>
          <w:tab w:leader="none" w:pos="855"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660" w:right="700" w:hanging="4"/>
        <w:spacing w:after="0" w:line="281" w:lineRule="auto"/>
        <w:tabs>
          <w:tab w:leader="none" w:pos="845"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660" w:right="80" w:hanging="4"/>
        <w:spacing w:after="0" w:line="255" w:lineRule="auto"/>
        <w:tabs>
          <w:tab w:leader="none" w:pos="855"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6" w:lineRule="exact"/>
        <w:rPr>
          <w:rFonts w:ascii="Arial" w:cs="Arial" w:eastAsia="Arial" w:hAnsi="Arial"/>
          <w:sz w:val="18"/>
          <w:szCs w:val="18"/>
          <w:color w:val="auto"/>
        </w:rPr>
      </w:pPr>
    </w:p>
    <w:p>
      <w:pPr>
        <w:ind w:right="480" w:firstLine="8"/>
        <w:spacing w:after="0" w:line="308" w:lineRule="auto"/>
        <w:tabs>
          <w:tab w:leader="none" w:pos="1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73" w:lineRule="exact"/>
        <w:rPr>
          <w:rFonts w:ascii="Arial" w:cs="Arial" w:eastAsia="Arial" w:hAnsi="Arial"/>
          <w:sz w:val="17"/>
          <w:szCs w:val="17"/>
          <w:color w:val="auto"/>
        </w:rPr>
      </w:pPr>
    </w:p>
    <w:p>
      <w:pPr>
        <w:ind w:left="660" w:right="100" w:hanging="4"/>
        <w:spacing w:after="0" w:line="258" w:lineRule="auto"/>
        <w:tabs>
          <w:tab w:leader="none" w:pos="845"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8"/>
          <w:szCs w:val="18"/>
          <w:color w:val="auto"/>
        </w:rPr>
      </w:pPr>
    </w:p>
    <w:p>
      <w:pPr>
        <w:ind w:left="660" w:right="40" w:hanging="4"/>
        <w:spacing w:after="0" w:line="260" w:lineRule="auto"/>
        <w:tabs>
          <w:tab w:leader="none" w:pos="855"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Date: October 10, 2023</w:t>
      </w:r>
    </w:p>
    <w:p>
      <w:pPr>
        <w:spacing w:after="0" w:line="38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ANTHONY FOLGER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0861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Anthony Folger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 and Chief Financial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891"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256"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In connection with the Quarterly Report on Form 10-Q of Progress Software Corporation (the Company) for the three months ended August 31, 2023, as filed with the Securities and Exchange Commission on the date hereof (the Report), each of the undersigned, Yogesh K. Gupta, President and Chief Executive Officer, and Anthony Folger, Executive Vice President and Chief Financial Officer, of the Company, certifies, to the best knowledge and belief of the signatory, pursuant to 18 U.S.C. Section 1350, as adopted pursuant to Section 906 of the Sarbanes-Oxley Act of 2002, that:</w:t>
      </w:r>
    </w:p>
    <w:p>
      <w:pPr>
        <w:spacing w:after="0" w:line="184" w:lineRule="exact"/>
        <w:rPr>
          <w:sz w:val="20"/>
          <w:szCs w:val="20"/>
          <w:color w:val="auto"/>
        </w:rPr>
      </w:pPr>
    </w:p>
    <w:p>
      <w:pPr>
        <w:ind w:left="840" w:hanging="184"/>
        <w:spacing w:after="0"/>
        <w:tabs>
          <w:tab w:leader="none" w:pos="8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660" w:right="740" w:hanging="4"/>
        <w:spacing w:after="0" w:line="277" w:lineRule="auto"/>
        <w:tabs>
          <w:tab w:leader="none" w:pos="8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1040" w:type="dxa"/>
        <w:tblCellMar>
          <w:top w:w="0" w:type="dxa"/>
          <w:left w:w="0" w:type="dxa"/>
          <w:bottom w:w="0" w:type="dxa"/>
          <w:right w:w="0" w:type="dxa"/>
        </w:tblCellMar>
      </w:tblPr>
      <w:tr>
        <w:trPr>
          <w:trHeight w:val="230"/>
        </w:trPr>
        <w:tc>
          <w:tcPr>
            <w:tcW w:w="5780" w:type="dxa"/>
            <w:vAlign w:val="bottom"/>
            <w:gridSpan w:val="2"/>
          </w:tcPr>
          <w:p>
            <w:pPr>
              <w:ind w:left="20"/>
              <w:spacing w:after="0"/>
              <w:rPr>
                <w:sz w:val="20"/>
                <w:szCs w:val="20"/>
                <w:color w:val="auto"/>
              </w:rPr>
            </w:pPr>
            <w:r>
              <w:rPr>
                <w:rFonts w:ascii="Arial" w:cs="Arial" w:eastAsia="Arial" w:hAnsi="Arial"/>
                <w:sz w:val="18"/>
                <w:szCs w:val="18"/>
                <w:color w:val="auto"/>
              </w:rPr>
              <w:t>/s/ YOGESH K. GUPTA</w:t>
            </w:r>
          </w:p>
        </w:tc>
        <w:tc>
          <w:tcPr>
            <w:tcW w:w="4420" w:type="dxa"/>
            <w:vAlign w:val="bottom"/>
          </w:tcPr>
          <w:p>
            <w:pPr>
              <w:ind w:left="20"/>
              <w:spacing w:after="0"/>
              <w:rPr>
                <w:sz w:val="20"/>
                <w:szCs w:val="20"/>
                <w:color w:val="auto"/>
              </w:rPr>
            </w:pPr>
            <w:r>
              <w:rPr>
                <w:rFonts w:ascii="Arial" w:cs="Arial" w:eastAsia="Arial" w:hAnsi="Arial"/>
                <w:sz w:val="18"/>
                <w:szCs w:val="18"/>
                <w:color w:val="auto"/>
              </w:rPr>
              <w:t>/s/ ANTHONY FOLGER</w:t>
            </w:r>
          </w:p>
        </w:tc>
      </w:tr>
      <w:tr>
        <w:trPr>
          <w:trHeight w:val="224"/>
        </w:trPr>
        <w:tc>
          <w:tcPr>
            <w:tcW w:w="43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President and Chief Executive Officer</w:t>
            </w:r>
          </w:p>
        </w:tc>
        <w:tc>
          <w:tcPr>
            <w:tcW w:w="1400" w:type="dxa"/>
            <w:vAlign w:val="bottom"/>
          </w:tcPr>
          <w:p>
            <w:pPr>
              <w:spacing w:after="0"/>
              <w:rPr>
                <w:sz w:val="19"/>
                <w:szCs w:val="19"/>
                <w:color w:val="auto"/>
              </w:rPr>
            </w:pPr>
          </w:p>
        </w:tc>
        <w:tc>
          <w:tcPr>
            <w:tcW w:w="44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445"/>
        </w:trPr>
        <w:tc>
          <w:tcPr>
            <w:tcW w:w="5780" w:type="dxa"/>
            <w:vAlign w:val="bottom"/>
            <w:gridSpan w:val="2"/>
          </w:tcPr>
          <w:p>
            <w:pPr>
              <w:ind w:left="20"/>
              <w:spacing w:after="0"/>
              <w:rPr>
                <w:sz w:val="20"/>
                <w:szCs w:val="20"/>
                <w:color w:val="auto"/>
              </w:rPr>
            </w:pPr>
            <w:r>
              <w:rPr>
                <w:rFonts w:ascii="Arial" w:cs="Arial" w:eastAsia="Arial" w:hAnsi="Arial"/>
                <w:sz w:val="18"/>
                <w:szCs w:val="18"/>
                <w:color w:val="auto"/>
              </w:rPr>
              <w:t>Date:   October 10, 2023</w:t>
            </w:r>
          </w:p>
        </w:tc>
        <w:tc>
          <w:tcPr>
            <w:tcW w:w="4420" w:type="dxa"/>
            <w:vAlign w:val="bottom"/>
          </w:tcPr>
          <w:p>
            <w:pPr>
              <w:ind w:left="20"/>
              <w:spacing w:after="0"/>
              <w:rPr>
                <w:sz w:val="20"/>
                <w:szCs w:val="20"/>
                <w:color w:val="auto"/>
              </w:rPr>
            </w:pPr>
            <w:r>
              <w:rPr>
                <w:rFonts w:ascii="Arial" w:cs="Arial" w:eastAsia="Arial" w:hAnsi="Arial"/>
                <w:sz w:val="18"/>
                <w:szCs w:val="18"/>
                <w:color w:val="auto"/>
              </w:rPr>
              <w:t>Date:   October 10, 2023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1"/>
    </w:lvl>
    <w:lvl w:ilvl="1">
      <w:lvlJc w:val="left"/>
      <w:lvlText w:val="%2)"/>
      <w:numFmt w:val="lowerLetter"/>
      <w:start w:val="1"/>
    </w:lvl>
  </w:abstractNum>
  <w:abstractNum w:abstractNumId="5">
    <w:nsid w:val="2EB141F2"/>
    <w:multiLevelType w:val="hybridMultilevel"/>
    <w:lvl w:ilvl="0">
      <w:lvlJc w:val="left"/>
      <w:lvlText w:val="%1."/>
      <w:numFmt w:val="decimal"/>
      <w:start w:val="1"/>
    </w:lvl>
    <w:lvl w:ilvl="1">
      <w:lvlJc w:val="left"/>
      <w:lvlText w:val="%2)"/>
      <w:numFmt w:val="lowerLetter"/>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2023-10-10T16:15:28Z</dcterms:created>
  <dcterms:modified xsi:type="dcterms:W3CDTF">2023-10-10T16:15:28Z</dcterms:modified>
</cp:coreProperties>
</file>