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526724.xml.htm"/>
      <w:bookmarkStart w:id="1" w:name="kswkform4_179252672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FOLGER ANTHONY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PROGRESS SOFTWARE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 WAYSIDE ROAD,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BURLINGTON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PROGRESS SOFTWARE CORP /MA</w:t>
              </w:r>
            </w:hyperlink>
            <w:r>
              <w:rPr/>
              <w:t xml:space="preserve"> [ </w:t>
            </w:r>
            <w:r>
              <w:rPr>
                <w:rFonts w:ascii="Times;serif" w:hAnsi="Times;serif"/>
                <w:color w:val="0000FF"/>
                <w:sz w:val="24"/>
                <w:shd w:fill="FFFFFF" w:val="clear"/>
              </w:rPr>
              <w:t>PRGS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1,700</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40.09</w:t>
            </w:r>
            <w:r>
              <w:rPr>
                <w:rFonts w:ascii="Times;serif" w:hAnsi="Times;serif"/>
                <w:color w:val="008000"/>
                <w:position w:val="7"/>
                <w:sz w:val="16"/>
                <w:sz w:val="20"/>
                <w:shd w:fill="FFFFFF" w:val="clear"/>
              </w:rPr>
              <w:t>(2)</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51,351</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10/16/2026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1,367</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40.69</w:t>
            </w:r>
            <w:r>
              <w:rPr>
                <w:rFonts w:ascii="Times;serif" w:hAnsi="Times;serif"/>
                <w:color w:val="008000"/>
                <w:position w:val="7"/>
                <w:sz w:val="16"/>
                <w:sz w:val="20"/>
                <w:shd w:fill="FFFFFF" w:val="clear"/>
              </w:rPr>
              <w:t>(3)</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49,984</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in this Form 4 was effected pursuant to a preexisting Rule 10b5-1 trading plan adopted by the Reporting Person on February 4, 2026, prior to the recent volatility in Progress Software Corporation's stock price and in compliance with all applicable laws and regulations. The sale is reported on two rows due to being executed in multiple trades across a price range that exceeded $1.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tranche of the sale was executed in multiple trades at prices ranging from $39.55 to $40.54 per share. The price reported represents the weighted average sale price of these trades. The Reporting Person hereby undertakes to provide upon request to the SEC staff, the issuer, or a security holder of the issuer, full information regarding the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tranche of the sale was executed in multiple trades at prices ranging from $40.56 to $40.86 per share. The price reported represents the weighted average sale price of these trades. The Reporting Person hereby undertakes to provide upon request to the SEC staff, the issuer, or a security holder of the issuer, full information regarding the shares sold at each separate price.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YuFan Stephanie Wang,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66737" TargetMode="External"/><Relationship Id="rId5" Type="http://schemas.openxmlformats.org/officeDocument/2006/relationships/hyperlink" Target="http://www.sec.gov/cgi-bin/browse-edgar?action=getcompany&amp;CIK=000087616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774</Words>
  <Characters>4154</Characters>
  <CharactersWithSpaces>4849</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