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913.xml.htm"/>
      <w:bookmarkStart w:id="1" w:name="kswkform4_17912309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LoCoco Domenic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11,256</w:t>
            </w:r>
            <w:r>
              <w:rPr>
                <w:rFonts w:ascii="Times;serif" w:hAnsi="Times;serif"/>
                <w:color w:val="008000"/>
                <w:position w:val="7"/>
                <w:sz w:val="16"/>
                <w:sz w:val="20"/>
                <w:shd w:fill="FFFFFF" w:val="clear"/>
              </w:rPr>
              <w:t>(2)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272</w:t>
            </w:r>
            <w:r>
              <w:rPr>
                <w:rFonts w:ascii="Times;serif" w:hAnsi="Times;serif"/>
                <w:color w:val="008000"/>
                <w:position w:val="7"/>
                <w:sz w:val="16"/>
                <w:sz w:val="20"/>
                <w:shd w:fill="FFFFFF" w:val="clear"/>
              </w:rPr>
              <w:t>(4)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344</w:t>
            </w:r>
            <w:r>
              <w:rPr>
                <w:rFonts w:ascii="Times;serif" w:hAnsi="Times;serif"/>
                <w:color w:val="008000"/>
                <w:position w:val="7"/>
                <w:sz w:val="16"/>
                <w:sz w:val="20"/>
                <w:shd w:fill="FFFFFF" w:val="clear"/>
              </w:rPr>
              <w:t>(5)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563 shares and 29 shares of common stock acquired by the Reporting Person on March 31, 2026, and June 30, 2026, respectively, through Progress Software Corporation's (the "Company")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withheld by the Company to pay the tax withholding obligations of the Reporting Person upon the vesting of restricted stock units granted to the Reporting Person on January 18,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withheld by the Company to pay the tax withholding obligations of the Reporting Person upon the vesting of restricted stock units granted to the Reporting Person on January 23,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withheld by the Company to pay the tax withholding obligations of the Reporting Person upon the vesting of restricted stock units granted to the Reporting Person on January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18, 2024, the Reporting Person was granted 4,842 restricted stock units pursuant to the Company's 2008 Stock Option and Incentive Plan (as amended and restated, the "Plan"). The restricted stock units vest in six equal semiannual installments beginning October 1, 2024,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January 23, 2025, the Reporting Person was granted 5,544 restricted stock units pursuant to the Plan. The restricted stock units vest in six equal semiannual installments beginning October 1, 2025, subject to the continued employment of the Reporting Person with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January 22, 2026, the Reporting Person was granted 7,018 restricted stock units pursuant to the Plan. The restricted stock units vest in six equal semiannual installments beginning October 1, 2026, subject to the continued employment of the Reporting Person with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390"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957</Words>
  <Characters>5111</Characters>
  <CharactersWithSpaces>5916</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