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81915</wp:posOffset>
            </wp:positionV>
            <wp:extent cx="1714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97790</wp:posOffset>
            </wp:positionV>
            <wp:extent cx="1714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5" w:lineRule="exact"/>
        <w:rPr>
          <w:sz w:val="24"/>
          <w:szCs w:val="24"/>
          <w:color w:val="auto"/>
        </w:rPr>
      </w:pPr>
    </w:p>
    <w:p>
      <w:pPr>
        <w:ind w:left="640" w:hanging="317"/>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45" w:lineRule="exact"/>
        <w:rPr>
          <w:sz w:val="24"/>
          <w:szCs w:val="24"/>
          <w:color w:val="auto"/>
        </w:rPr>
      </w:pPr>
    </w:p>
    <w:p>
      <w:pPr>
        <w:ind w:left="4380"/>
        <w:spacing w:after="0"/>
        <w:rPr>
          <w:sz w:val="20"/>
          <w:szCs w:val="20"/>
          <w:color w:val="auto"/>
        </w:rPr>
      </w:pPr>
      <w:r>
        <w:rPr>
          <w:rFonts w:ascii="Arial" w:cs="Arial" w:eastAsia="Arial" w:hAnsi="Arial"/>
          <w:sz w:val="16"/>
          <w:szCs w:val="16"/>
          <w:color w:val="auto"/>
        </w:rPr>
        <w:t>For the fiscal year ended November 30, 2021</w:t>
      </w:r>
    </w:p>
    <w:p>
      <w:pPr>
        <w:spacing w:after="0" w:line="19" w:lineRule="exact"/>
        <w:rPr>
          <w:sz w:val="24"/>
          <w:szCs w:val="24"/>
          <w:color w:val="auto"/>
        </w:rPr>
      </w:pPr>
    </w:p>
    <w:p>
      <w:pPr>
        <w:ind w:left="5560"/>
        <w:spacing w:after="0"/>
        <w:rPr>
          <w:sz w:val="20"/>
          <w:szCs w:val="20"/>
          <w:color w:val="auto"/>
        </w:rPr>
      </w:pPr>
      <w:r>
        <w:rPr>
          <w:rFonts w:ascii="Arial" w:cs="Arial" w:eastAsia="Arial" w:hAnsi="Arial"/>
          <w:sz w:val="16"/>
          <w:szCs w:val="16"/>
          <w:color w:val="auto"/>
        </w:rPr>
        <w:t>or</w:t>
      </w:r>
    </w:p>
    <w:p>
      <w:pPr>
        <w:spacing w:after="0" w:line="122" w:lineRule="exact"/>
        <w:rPr>
          <w:sz w:val="24"/>
          <w:szCs w:val="24"/>
          <w:color w:val="auto"/>
        </w:rPr>
      </w:pPr>
    </w:p>
    <w:p>
      <w:pPr>
        <w:ind w:left="4240" w:right="2320" w:hanging="3924"/>
        <w:spacing w:after="0" w:line="423" w:lineRule="auto"/>
        <w:tabs>
          <w:tab w:leader="none" w:pos="673"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from_______to_______.</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0-19417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132080</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PROGRESS SOFTWARE CORPORATION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125095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jc w:val="center"/>
              <w:ind w:left="583"/>
              <w:spacing w:after="0"/>
              <w:rPr>
                <w:sz w:val="20"/>
                <w:szCs w:val="20"/>
                <w:color w:val="auto"/>
              </w:rPr>
            </w:pPr>
            <w:r>
              <w:rPr>
                <w:rFonts w:ascii="Arial" w:cs="Arial" w:eastAsia="Arial" w:hAnsi="Arial"/>
                <w:sz w:val="16"/>
                <w:szCs w:val="16"/>
                <w:b w:val="1"/>
                <w:bCs w:val="1"/>
                <w:color w:val="auto"/>
                <w:w w:val="93"/>
              </w:rPr>
              <w:t>Delaware</w:t>
            </w: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jc w:val="right"/>
              <w:ind w:right="1919"/>
              <w:spacing w:after="0"/>
              <w:rPr>
                <w:sz w:val="20"/>
                <w:szCs w:val="20"/>
                <w:color w:val="auto"/>
              </w:rPr>
            </w:pPr>
            <w:r>
              <w:rPr>
                <w:rFonts w:ascii="Arial" w:cs="Arial" w:eastAsia="Arial" w:hAnsi="Arial"/>
                <w:sz w:val="16"/>
                <w:szCs w:val="16"/>
                <w:b w:val="1"/>
                <w:bCs w:val="1"/>
                <w:color w:val="auto"/>
              </w:rPr>
              <w:t>04-2746201</w:t>
            </w:r>
          </w:p>
        </w:tc>
        <w:tc>
          <w:tcPr>
            <w:tcW w:w="0" w:type="dxa"/>
            <w:vAlign w:val="bottom"/>
          </w:tcPr>
          <w:p>
            <w:pPr>
              <w:spacing w:after="0"/>
              <w:rPr>
                <w:sz w:val="1"/>
                <w:szCs w:val="1"/>
                <w:color w:val="auto"/>
              </w:rPr>
            </w:pPr>
          </w:p>
        </w:tc>
      </w:tr>
      <w:tr>
        <w:trPr>
          <w:trHeight w:val="183"/>
        </w:trPr>
        <w:tc>
          <w:tcPr>
            <w:tcW w:w="4280" w:type="dxa"/>
            <w:vAlign w:val="bottom"/>
          </w:tcPr>
          <w:p>
            <w:pPr>
              <w:jc w:val="center"/>
              <w:ind w:left="603"/>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6120" w:type="dxa"/>
            <w:vAlign w:val="bottom"/>
            <w:gridSpan w:val="3"/>
          </w:tcPr>
          <w:p>
            <w:pPr>
              <w:jc w:val="center"/>
              <w:ind w:left="1261"/>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511"/>
        </w:trPr>
        <w:tc>
          <w:tcPr>
            <w:tcW w:w="4280" w:type="dxa"/>
            <w:vAlign w:val="bottom"/>
          </w:tcPr>
          <w:p>
            <w:pPr>
              <w:spacing w:after="0"/>
              <w:rPr>
                <w:sz w:val="24"/>
                <w:szCs w:val="24"/>
                <w:color w:val="auto"/>
              </w:rPr>
            </w:pPr>
          </w:p>
        </w:tc>
        <w:tc>
          <w:tcPr>
            <w:tcW w:w="3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14 Oak Park</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3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Bedford, Massachusetts 01730</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340" w:type="dxa"/>
            <w:vAlign w:val="bottom"/>
            <w:gridSpan w:val="3"/>
          </w:tcPr>
          <w:p>
            <w:pPr>
              <w:jc w:val="center"/>
              <w:ind w:left="3823"/>
              <w:spacing w:after="0"/>
              <w:rPr>
                <w:sz w:val="20"/>
                <w:szCs w:val="20"/>
                <w:color w:val="auto"/>
              </w:rPr>
            </w:pPr>
            <w:r>
              <w:rPr>
                <w:rFonts w:ascii="Arial" w:cs="Arial" w:eastAsia="Arial" w:hAnsi="Arial"/>
                <w:sz w:val="14"/>
                <w:szCs w:val="14"/>
                <w:color w:val="auto"/>
                <w:w w:val="95"/>
              </w:rPr>
              <w:t>(Address of principal executive offices) (Zip code)</w:t>
            </w: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428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3"/>
              </w:rPr>
              <w:t>(781) 280-4000</w:t>
            </w: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340" w:type="dxa"/>
            <w:vAlign w:val="bottom"/>
            <w:gridSpan w:val="3"/>
          </w:tcPr>
          <w:p>
            <w:pPr>
              <w:jc w:val="center"/>
              <w:ind w:left="3823"/>
              <w:spacing w:after="0"/>
              <w:rPr>
                <w:sz w:val="20"/>
                <w:szCs w:val="20"/>
                <w:color w:val="auto"/>
              </w:rPr>
            </w:pPr>
            <w:r>
              <w:rPr>
                <w:rFonts w:ascii="Arial" w:cs="Arial" w:eastAsia="Arial" w:hAnsi="Arial"/>
                <w:sz w:val="14"/>
                <w:szCs w:val="14"/>
                <w:color w:val="auto"/>
                <w:w w:val="92"/>
              </w:rPr>
              <w:t>(Registrant’s telephone number, including area code)</w:t>
            </w: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280" w:type="dxa"/>
            <w:vAlign w:val="bottom"/>
            <w:vMerge w:val="restart"/>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7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428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80" w:type="dxa"/>
            <w:vAlign w:val="bottom"/>
          </w:tcPr>
          <w:p>
            <w:pPr>
              <w:jc w:val="center"/>
              <w:ind w:left="203"/>
              <w:spacing w:after="0"/>
              <w:rPr>
                <w:sz w:val="20"/>
                <w:szCs w:val="20"/>
                <w:color w:val="auto"/>
              </w:rPr>
            </w:pPr>
            <w:r>
              <w:rPr>
                <w:rFonts w:ascii="Arial" w:cs="Arial" w:eastAsia="Arial" w:hAnsi="Arial"/>
                <w:sz w:val="16"/>
                <w:szCs w:val="16"/>
                <w:color w:val="auto"/>
                <w:w w:val="90"/>
              </w:rPr>
              <w:t>Title of each class</w:t>
            </w:r>
          </w:p>
        </w:tc>
        <w:tc>
          <w:tcPr>
            <w:tcW w:w="3060" w:type="dxa"/>
            <w:vAlign w:val="bottom"/>
            <w:gridSpan w:val="2"/>
          </w:tcPr>
          <w:p>
            <w:pPr>
              <w:jc w:val="center"/>
              <w:ind w:right="400"/>
              <w:spacing w:after="0"/>
              <w:rPr>
                <w:sz w:val="20"/>
                <w:szCs w:val="20"/>
                <w:color w:val="auto"/>
              </w:rPr>
            </w:pPr>
            <w:r>
              <w:rPr>
                <w:rFonts w:ascii="Arial" w:cs="Arial" w:eastAsia="Arial" w:hAnsi="Arial"/>
                <w:sz w:val="16"/>
                <w:szCs w:val="16"/>
                <w:color w:val="auto"/>
                <w:w w:val="93"/>
              </w:rPr>
              <w:t>Trading Symbol(s)</w:t>
            </w:r>
          </w:p>
        </w:tc>
        <w:tc>
          <w:tcPr>
            <w:tcW w:w="3060" w:type="dxa"/>
            <w:vAlign w:val="bottom"/>
          </w:tcPr>
          <w:p>
            <w:pPr>
              <w:jc w:val="center"/>
              <w:ind w:left="99"/>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216"/>
        </w:trPr>
        <w:tc>
          <w:tcPr>
            <w:tcW w:w="4280" w:type="dxa"/>
            <w:vAlign w:val="bottom"/>
          </w:tcPr>
          <w:p>
            <w:pPr>
              <w:jc w:val="center"/>
              <w:ind w:left="223"/>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3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PRGS</w:t>
            </w:r>
          </w:p>
        </w:tc>
        <w:tc>
          <w:tcPr>
            <w:tcW w:w="3060" w:type="dxa"/>
            <w:vAlign w:val="bottom"/>
          </w:tcPr>
          <w:p>
            <w:pPr>
              <w:jc w:val="center"/>
              <w:ind w:left="99"/>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bl>
    <w:p>
      <w:pPr>
        <w:spacing w:after="0" w:line="32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86360</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5" w:lineRule="exact"/>
        <w:rPr>
          <w:sz w:val="24"/>
          <w:szCs w:val="24"/>
          <w:color w:val="auto"/>
        </w:rPr>
      </w:pPr>
    </w:p>
    <w:p>
      <w:pPr>
        <w:spacing w:after="0" w:line="184" w:lineRule="exact"/>
        <w:tabs>
          <w:tab w:leader="none" w:pos="7800" w:val="left"/>
          <w:tab w:leader="none" w:pos="8440" w:val="left"/>
        </w:tabs>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tabs>
          <w:tab w:leader="none" w:pos="9140" w:val="left"/>
        </w:tabs>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8" w:lineRule="exact"/>
        <w:rPr>
          <w:sz w:val="24"/>
          <w:szCs w:val="24"/>
          <w:color w:val="auto"/>
        </w:rPr>
      </w:pPr>
    </w:p>
    <w:p>
      <w:pPr>
        <w:ind w:right="3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0" w:lineRule="exact"/>
        <w:rPr>
          <w:sz w:val="24"/>
          <w:szCs w:val="24"/>
          <w:color w:val="auto"/>
        </w:rPr>
      </w:pPr>
    </w:p>
    <w:p>
      <w:pPr>
        <w:ind w:right="36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980" w:type="dxa"/>
            <w:vAlign w:val="bottom"/>
          </w:tcPr>
          <w:p>
            <w:pPr>
              <w:ind w:left="276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r>
      <w:tr>
        <w:trPr>
          <w:trHeight w:val="310"/>
        </w:trPr>
        <w:tc>
          <w:tcPr>
            <w:tcW w:w="204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980" w:type="dxa"/>
            <w:vAlign w:val="bottom"/>
          </w:tcPr>
          <w:p>
            <w:pPr>
              <w:ind w:left="276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r>
      <w:tr>
        <w:trPr>
          <w:trHeight w:val="311"/>
        </w:trPr>
        <w:tc>
          <w:tcPr>
            <w:tcW w:w="2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980" w:type="dxa"/>
            <w:vAlign w:val="bottom"/>
          </w:tcPr>
          <w:p>
            <w:pPr>
              <w:ind w:left="2760"/>
              <w:spacing w:after="0"/>
              <w:rPr>
                <w:sz w:val="20"/>
                <w:szCs w:val="20"/>
                <w:color w:val="auto"/>
              </w:rPr>
            </w:pPr>
            <w:r>
              <w:rPr>
                <w:rFonts w:ascii="Arial" w:cs="Arial" w:eastAsia="Arial" w:hAnsi="Arial"/>
                <w:sz w:val="16"/>
                <w:szCs w:val="16"/>
                <w:color w:val="auto"/>
              </w:rPr>
              <w:t>Emerging growth company</w:t>
            </w:r>
          </w:p>
        </w:tc>
        <w:tc>
          <w:tcPr>
            <w:tcW w:w="7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r>
      <w:tr>
        <w:trPr>
          <w:trHeight w:val="1088"/>
        </w:trPr>
        <w:tc>
          <w:tcPr>
            <w:tcW w:w="20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 w:name="page2"/>
    <w:bookmarkEnd w:id="1"/>
    <w:p>
      <w:pPr>
        <w:ind w:right="5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0"/>
          <w:szCs w:val="20"/>
          <w:color w:val="auto"/>
        </w:rPr>
      </w:pPr>
    </w:p>
    <w:p>
      <w:pPr>
        <w:ind w:right="16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8" w:lineRule="exact"/>
        <w:rPr>
          <w:sz w:val="20"/>
          <w:szCs w:val="20"/>
          <w:color w:val="auto"/>
        </w:rPr>
      </w:pPr>
    </w:p>
    <w:p>
      <w:pPr>
        <w:spacing w:after="0" w:line="184" w:lineRule="exact"/>
        <w:tabs>
          <w:tab w:leader="none" w:pos="7560" w:val="left"/>
          <w:tab w:leader="none" w:pos="81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7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of May 31, 2021 (the last business day of the registrant’s most recently completed second fiscal quarter), the aggregate market value of voting stock held by non-affiliates of the Registrant was approximately $1,927,000,000.</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As of January 20, 2022, there were 44,181,338 common shares outstanding.</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Certain information required in Items 10, 11, 12, 13 and 14 of Part III of this Annual Report on Form 10-K is incorporated by reference to our definitive Proxy Statement for our 2022 Annual Meeting of Stockholders to be filed pursuant to Regulation 14A (our “definitive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80" w:type="dxa"/>
            <w:vAlign w:val="bottom"/>
            <w:gridSpan w:val="11"/>
          </w:tcPr>
          <w:p>
            <w:pPr>
              <w:jc w:val="center"/>
              <w:ind w:right="2940"/>
              <w:spacing w:after="0"/>
              <w:rPr>
                <w:sz w:val="20"/>
                <w:szCs w:val="20"/>
                <w:color w:val="auto"/>
              </w:rPr>
            </w:pPr>
            <w:r>
              <w:rPr>
                <w:rFonts w:ascii="Arial" w:cs="Arial" w:eastAsia="Arial" w:hAnsi="Arial"/>
                <w:sz w:val="18"/>
                <w:szCs w:val="18"/>
                <w:b w:val="1"/>
                <w:bCs w:val="1"/>
                <w:color w:val="auto"/>
                <w:w w:val="97"/>
              </w:rPr>
              <w:t>PROGRESS SOFTWARE CORPORATION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0" w:type="dxa"/>
            <w:vAlign w:val="bottom"/>
            <w:gridSpan w:val="8"/>
          </w:tcPr>
          <w:p>
            <w:pPr>
              <w:jc w:val="center"/>
              <w:ind w:right="4220"/>
              <w:spacing w:after="0"/>
              <w:rPr>
                <w:sz w:val="20"/>
                <w:szCs w:val="20"/>
                <w:color w:val="auto"/>
              </w:rPr>
            </w:pPr>
            <w:r>
              <w:rPr>
                <w:rFonts w:ascii="Arial" w:cs="Arial" w:eastAsia="Arial" w:hAnsi="Arial"/>
                <w:sz w:val="18"/>
                <w:szCs w:val="18"/>
                <w:b w:val="1"/>
                <w:bCs w:val="1"/>
                <w:color w:val="auto"/>
              </w:rPr>
              <w:t>FORM 10-K</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gridSpan w:val="11"/>
          </w:tcPr>
          <w:p>
            <w:pPr>
              <w:jc w:val="center"/>
              <w:ind w:right="2960"/>
              <w:spacing w:after="0"/>
              <w:rPr>
                <w:sz w:val="20"/>
                <w:szCs w:val="20"/>
                <w:color w:val="auto"/>
              </w:rPr>
            </w:pPr>
            <w:r>
              <w:rPr>
                <w:rFonts w:ascii="Arial" w:cs="Arial" w:eastAsia="Arial" w:hAnsi="Arial"/>
                <w:sz w:val="18"/>
                <w:szCs w:val="18"/>
                <w:b w:val="1"/>
                <w:bCs w:val="1"/>
                <w:color w:val="auto"/>
                <w:w w:val="99"/>
              </w:rPr>
              <w:t>FOR THE FISCAL YEAR ENDED NOVEMBER 30, 2021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20" w:type="dxa"/>
            <w:vAlign w:val="bottom"/>
            <w:gridSpan w:val="7"/>
          </w:tcPr>
          <w:p>
            <w:pPr>
              <w:jc w:val="center"/>
              <w:ind w:right="5000"/>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96"/>
        </w:trPr>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1120" w:type="dxa"/>
            <w:vAlign w:val="bottom"/>
          </w:tcPr>
          <w:p>
            <w:pPr>
              <w:ind w:left="20"/>
              <w:spacing w:after="0"/>
              <w:rPr>
                <w:sz w:val="20"/>
                <w:szCs w:val="20"/>
                <w:color w:val="auto"/>
              </w:rPr>
            </w:pPr>
            <w:r>
              <w:rPr>
                <w:rFonts w:ascii="Arial" w:cs="Arial" w:eastAsia="Arial" w:hAnsi="Arial"/>
                <w:sz w:val="18"/>
                <w:szCs w:val="18"/>
                <w:color w:val="auto"/>
              </w:rPr>
              <w:t>Item 1.</w:t>
            </w:r>
          </w:p>
        </w:tc>
        <w:tc>
          <w:tcPr>
            <w:tcW w:w="640" w:type="dxa"/>
            <w:vAlign w:val="bottom"/>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9280" w:type="dxa"/>
            <w:vAlign w:val="bottom"/>
            <w:gridSpan w:val="19"/>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1A.</w:t>
            </w:r>
          </w:p>
        </w:tc>
        <w:tc>
          <w:tcPr>
            <w:tcW w:w="9920" w:type="dxa"/>
            <w:vAlign w:val="bottom"/>
            <w:gridSpan w:val="2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Risk Factors</w:t>
              </w:r>
            </w:hyperlink>
          </w:p>
        </w:tc>
        <w:tc>
          <w:tcPr>
            <w:tcW w:w="200" w:type="dxa"/>
            <w:vAlign w:val="bottom"/>
            <w:gridSpan w:val="3"/>
          </w:tcPr>
          <w:p>
            <w:pPr>
              <w:jc w:val="right"/>
              <w:ind w:righ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11</w:t>
              </w:r>
            </w:hyperlink>
          </w:p>
        </w:tc>
      </w:tr>
      <w:tr>
        <w:trPr>
          <w:trHeight w:val="20"/>
        </w:trPr>
        <w:tc>
          <w:tcPr>
            <w:tcW w:w="11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1B.</w:t>
            </w:r>
          </w:p>
        </w:tc>
        <w:tc>
          <w:tcPr>
            <w:tcW w:w="9920" w:type="dxa"/>
            <w:vAlign w:val="bottom"/>
            <w:gridSpan w:val="20"/>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Unresolved Staff Comments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19</w:t>
              </w:r>
            </w:hyperlink>
          </w:p>
        </w:tc>
        <w:tc>
          <w:tcPr>
            <w:tcW w:w="20" w:type="dxa"/>
            <w:vAlign w:val="bottom"/>
          </w:tcPr>
          <w:p>
            <w:pPr>
              <w:spacing w:after="0"/>
              <w:rPr>
                <w:sz w:val="18"/>
                <w:szCs w:val="18"/>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FF"/>
            </w:tcBorders>
            <w:gridSpan w:val="9"/>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Properties</w:t>
              </w:r>
            </w:hyperlink>
          </w:p>
        </w:tc>
        <w:tc>
          <w:tcPr>
            <w:tcW w:w="7880" w:type="dxa"/>
            <w:vAlign w:val="bottom"/>
            <w:gridSpan w:val="11"/>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20</w:t>
              </w:r>
            </w:hyperlink>
          </w:p>
        </w:tc>
        <w:tc>
          <w:tcPr>
            <w:tcW w:w="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20">
              <w:r>
                <w:rPr>
                  <w:rFonts w:ascii="Arial" w:cs="Arial" w:eastAsia="Arial" w:hAnsi="Arial"/>
                  <w:sz w:val="18"/>
                  <w:szCs w:val="18"/>
                  <w:color w:val="0000FF"/>
                  <w:w w:val="88"/>
                </w:rPr>
                <w:t>Legal Proceedings</w:t>
              </w:r>
            </w:hyperlink>
          </w:p>
        </w:tc>
        <w:tc>
          <w:tcPr>
            <w:tcW w:w="8580" w:type="dxa"/>
            <w:vAlign w:val="bottom"/>
            <w:gridSpan w:val="14"/>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c>
          <w:tcPr>
            <w:tcW w:w="20" w:type="dxa"/>
            <w:vAlign w:val="bottom"/>
          </w:tcPr>
          <w:p>
            <w:pPr>
              <w:spacing w:after="0"/>
              <w:rPr>
                <w:sz w:val="18"/>
                <w:szCs w:val="18"/>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4.</w:t>
            </w:r>
          </w:p>
        </w:tc>
        <w:tc>
          <w:tcPr>
            <w:tcW w:w="9920" w:type="dxa"/>
            <w:vAlign w:val="bottom"/>
            <w:gridSpan w:val="20"/>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Mine Safety Disclosures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c>
          <w:tcPr>
            <w:tcW w:w="20" w:type="dxa"/>
            <w:vAlign w:val="bottom"/>
          </w:tcPr>
          <w:p>
            <w:pPr>
              <w:spacing w:after="0"/>
              <w:rPr>
                <w:sz w:val="18"/>
                <w:szCs w:val="18"/>
                <w:color w:val="auto"/>
              </w:rPr>
            </w:pPr>
          </w:p>
        </w:tc>
      </w:tr>
      <w:tr>
        <w:trPr>
          <w:trHeight w:val="507"/>
        </w:trPr>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1120" w:type="dxa"/>
            <w:vAlign w:val="bottom"/>
          </w:tcPr>
          <w:p>
            <w:pPr>
              <w:ind w:left="2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Market for Registrant’s Common Equity, Related Stockholder Matters and Issuer Purchases of Equity Securities</w:t>
              </w:r>
            </w:hyperlink>
          </w:p>
        </w:tc>
        <w:tc>
          <w:tcPr>
            <w:tcW w:w="18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c>
          <w:tcPr>
            <w:tcW w:w="20" w:type="dxa"/>
            <w:vAlign w:val="bottom"/>
          </w:tcPr>
          <w:p>
            <w:pPr>
              <w:spacing w:after="0"/>
              <w:rPr>
                <w:sz w:val="24"/>
                <w:szCs w:val="24"/>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[Reserved]</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21</w:t>
              </w:r>
            </w:hyperlink>
          </w:p>
        </w:tc>
        <w:tc>
          <w:tcPr>
            <w:tcW w:w="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Management’s Discussion and Analysis of Financial Condition and Results of Operations</w:t>
              </w:r>
            </w:hyperlink>
          </w:p>
        </w:tc>
        <w:tc>
          <w:tcPr>
            <w:tcW w:w="3460" w:type="dxa"/>
            <w:vAlign w:val="bottom"/>
            <w:gridSpan w:val="4"/>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22</w:t>
              </w:r>
            </w:hyperlink>
          </w:p>
        </w:tc>
        <w:tc>
          <w:tcPr>
            <w:tcW w:w="20" w:type="dxa"/>
            <w:vAlign w:val="bottom"/>
          </w:tcPr>
          <w:p>
            <w:pPr>
              <w:spacing w:after="0"/>
              <w:rPr>
                <w:sz w:val="18"/>
                <w:szCs w:val="18"/>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35">
              <w:r>
                <w:rPr>
                  <w:rFonts w:ascii="Arial" w:cs="Arial" w:eastAsia="Arial" w:hAnsi="Arial"/>
                  <w:sz w:val="18"/>
                  <w:szCs w:val="18"/>
                  <w:color w:val="0000FF"/>
                  <w:w w:val="92"/>
                </w:rPr>
                <w:t>Quantitative and Qualitative Disclosures About Market Risk</w:t>
              </w:r>
            </w:hyperlink>
          </w:p>
        </w:tc>
        <w:tc>
          <w:tcPr>
            <w:tcW w:w="5560" w:type="dxa"/>
            <w:vAlign w:val="bottom"/>
            <w:gridSpan w:val="6"/>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20" w:type="dxa"/>
            <w:vAlign w:val="bottom"/>
          </w:tcPr>
          <w:p>
            <w:pPr>
              <w:spacing w:after="0"/>
              <w:rPr>
                <w:sz w:val="18"/>
                <w:szCs w:val="18"/>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8.</w:t>
            </w:r>
          </w:p>
        </w:tc>
        <w:tc>
          <w:tcPr>
            <w:tcW w:w="9920" w:type="dxa"/>
            <w:vAlign w:val="bottom"/>
            <w:gridSpan w:val="2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Financial Statements and Supplementary Data</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37</w:t>
              </w:r>
            </w:hyperlink>
          </w:p>
        </w:tc>
        <w:tc>
          <w:tcPr>
            <w:tcW w:w="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82">
              <w:r>
                <w:rPr>
                  <w:rFonts w:ascii="Arial" w:cs="Arial" w:eastAsia="Arial" w:hAnsi="Arial"/>
                  <w:sz w:val="18"/>
                  <w:szCs w:val="18"/>
                  <w:color w:val="0000FF"/>
                  <w:w w:val="90"/>
                </w:rPr>
                <w:t>Changes in and Disagreements with Accountants on Accounting and Financial Disclosure</w:t>
              </w:r>
            </w:hyperlink>
          </w:p>
        </w:tc>
        <w:tc>
          <w:tcPr>
            <w:tcW w:w="3440" w:type="dxa"/>
            <w:vAlign w:val="bottom"/>
            <w:gridSpan w:val="3"/>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83</w:t>
              </w:r>
            </w:hyperlink>
          </w:p>
        </w:tc>
        <w:tc>
          <w:tcPr>
            <w:tcW w:w="20" w:type="dxa"/>
            <w:vAlign w:val="bottom"/>
          </w:tcPr>
          <w:p>
            <w:pPr>
              <w:spacing w:after="0"/>
              <w:rPr>
                <w:sz w:val="18"/>
                <w:szCs w:val="18"/>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9A.</w:t>
            </w:r>
          </w:p>
        </w:tc>
        <w:tc>
          <w:tcPr>
            <w:tcW w:w="9920" w:type="dxa"/>
            <w:vAlign w:val="bottom"/>
            <w:gridSpan w:val="20"/>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83</w:t>
              </w:r>
            </w:hyperlink>
          </w:p>
        </w:tc>
        <w:tc>
          <w:tcPr>
            <w:tcW w:w="20" w:type="dxa"/>
            <w:vAlign w:val="bottom"/>
          </w:tcPr>
          <w:p>
            <w:pPr>
              <w:spacing w:after="0"/>
              <w:rPr>
                <w:sz w:val="18"/>
                <w:szCs w:val="18"/>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9B.</w:t>
            </w:r>
          </w:p>
        </w:tc>
        <w:tc>
          <w:tcPr>
            <w:tcW w:w="1800" w:type="dxa"/>
            <w:vAlign w:val="bottom"/>
            <w:tcBorders>
              <w:top w:val="single" w:sz="8" w:color="0000FF"/>
            </w:tcBorders>
            <w:gridSpan w:val="8"/>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Other Information</w:t>
              </w:r>
            </w:hyperlink>
          </w:p>
        </w:tc>
        <w:tc>
          <w:tcPr>
            <w:tcW w:w="8120" w:type="dxa"/>
            <w:vAlign w:val="bottom"/>
            <w:gridSpan w:val="1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85</w:t>
              </w:r>
            </w:hyperlink>
          </w:p>
        </w:tc>
        <w:tc>
          <w:tcPr>
            <w:tcW w:w="20" w:type="dxa"/>
            <w:vAlign w:val="bottom"/>
          </w:tcPr>
          <w:p>
            <w:pPr>
              <w:spacing w:after="0"/>
              <w:rPr>
                <w:sz w:val="18"/>
                <w:szCs w:val="18"/>
                <w:color w:val="auto"/>
              </w:rPr>
            </w:pPr>
          </w:p>
        </w:tc>
      </w:tr>
      <w:tr>
        <w:trPr>
          <w:trHeight w:val="507"/>
        </w:trPr>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1120" w:type="dxa"/>
            <w:vAlign w:val="bottom"/>
          </w:tcPr>
          <w:p>
            <w:pPr>
              <w:ind w:left="2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85">
              <w:r>
                <w:rPr>
                  <w:rFonts w:ascii="Arial" w:cs="Arial" w:eastAsia="Arial" w:hAnsi="Arial"/>
                  <w:sz w:val="18"/>
                  <w:szCs w:val="18"/>
                  <w:color w:val="0000FF"/>
                  <w:w w:val="90"/>
                </w:rPr>
                <w:t>Directors, Executive Officers and Corporate Governance</w:t>
              </w:r>
            </w:hyperlink>
          </w:p>
        </w:tc>
        <w:tc>
          <w:tcPr>
            <w:tcW w:w="5820" w:type="dxa"/>
            <w:vAlign w:val="bottom"/>
            <w:gridSpan w:val="7"/>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5">
              <w:r>
                <w:rPr>
                  <w:rFonts w:ascii="Arial" w:cs="Arial" w:eastAsia="Arial" w:hAnsi="Arial"/>
                  <w:sz w:val="18"/>
                  <w:szCs w:val="18"/>
                  <w:color w:val="0000FF"/>
                  <w:w w:val="79"/>
                </w:rPr>
                <w:t>85</w:t>
              </w:r>
            </w:hyperlink>
          </w:p>
        </w:tc>
        <w:tc>
          <w:tcPr>
            <w:tcW w:w="20" w:type="dxa"/>
            <w:vAlign w:val="bottom"/>
          </w:tcPr>
          <w:p>
            <w:pPr>
              <w:spacing w:after="0"/>
              <w:rPr>
                <w:sz w:val="24"/>
                <w:szCs w:val="24"/>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11.</w:t>
            </w:r>
          </w:p>
        </w:tc>
        <w:tc>
          <w:tcPr>
            <w:tcW w:w="9920" w:type="dxa"/>
            <w:vAlign w:val="bottom"/>
            <w:gridSpan w:val="20"/>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Executive Compensation</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6">
              <w:r>
                <w:rPr>
                  <w:rFonts w:ascii="Arial" w:cs="Arial" w:eastAsia="Arial" w:hAnsi="Arial"/>
                  <w:sz w:val="18"/>
                  <w:szCs w:val="18"/>
                  <w:color w:val="0000FF"/>
                  <w:w w:val="79"/>
                </w:rPr>
                <w:t>87</w:t>
              </w:r>
            </w:hyperlink>
          </w:p>
        </w:tc>
        <w:tc>
          <w:tcPr>
            <w:tcW w:w="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12.</w:t>
            </w:r>
          </w:p>
        </w:tc>
        <w:tc>
          <w:tcPr>
            <w:tcW w:w="9920" w:type="dxa"/>
            <w:vAlign w:val="bottom"/>
            <w:gridSpan w:val="20"/>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Security Ownership of Certain Beneficial Owners and Management and Related Stockholder Matters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7">
              <w:r>
                <w:rPr>
                  <w:rFonts w:ascii="Arial" w:cs="Arial" w:eastAsia="Arial" w:hAnsi="Arial"/>
                  <w:sz w:val="18"/>
                  <w:szCs w:val="18"/>
                  <w:color w:val="0000FF"/>
                  <w:w w:val="79"/>
                </w:rPr>
                <w:t>87</w:t>
              </w:r>
            </w:hyperlink>
          </w:p>
        </w:tc>
        <w:tc>
          <w:tcPr>
            <w:tcW w:w="20" w:type="dxa"/>
            <w:vAlign w:val="bottom"/>
          </w:tcPr>
          <w:p>
            <w:pPr>
              <w:spacing w:after="0"/>
              <w:rPr>
                <w:sz w:val="18"/>
                <w:szCs w:val="18"/>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18"/>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Certain Relationships and Related Transactions, and Director Independence</w:t>
              </w:r>
            </w:hyperlink>
          </w:p>
        </w:tc>
        <w:tc>
          <w:tcPr>
            <w:tcW w:w="264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87">
              <w:r>
                <w:rPr>
                  <w:rFonts w:ascii="Arial" w:cs="Arial" w:eastAsia="Arial" w:hAnsi="Arial"/>
                  <w:sz w:val="18"/>
                  <w:szCs w:val="18"/>
                  <w:color w:val="0000FF"/>
                  <w:w w:val="79"/>
                </w:rPr>
                <w:t>87</w:t>
              </w:r>
            </w:hyperlink>
          </w:p>
        </w:tc>
        <w:tc>
          <w:tcPr>
            <w:tcW w:w="20" w:type="dxa"/>
            <w:vAlign w:val="bottom"/>
          </w:tcPr>
          <w:p>
            <w:pPr>
              <w:spacing w:after="0"/>
              <w:rPr>
                <w:sz w:val="18"/>
                <w:szCs w:val="18"/>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5"/>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Principal Accounting Fees and Services</w:t>
              </w:r>
            </w:hyperlink>
          </w:p>
        </w:tc>
        <w:tc>
          <w:tcPr>
            <w:tcW w:w="4480" w:type="dxa"/>
            <w:vAlign w:val="bottom"/>
            <w:gridSpan w:val="5"/>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87">
              <w:r>
                <w:rPr>
                  <w:rFonts w:ascii="Arial" w:cs="Arial" w:eastAsia="Arial" w:hAnsi="Arial"/>
                  <w:sz w:val="18"/>
                  <w:szCs w:val="18"/>
                  <w:color w:val="0000FF"/>
                  <w:w w:val="79"/>
                </w:rPr>
                <w:t>87</w:t>
              </w:r>
            </w:hyperlink>
          </w:p>
        </w:tc>
        <w:tc>
          <w:tcPr>
            <w:tcW w:w="20" w:type="dxa"/>
            <w:vAlign w:val="bottom"/>
          </w:tcPr>
          <w:p>
            <w:pPr>
              <w:spacing w:after="0"/>
              <w:rPr>
                <w:sz w:val="18"/>
                <w:szCs w:val="18"/>
                <w:color w:val="auto"/>
              </w:rPr>
            </w:pPr>
          </w:p>
        </w:tc>
      </w:tr>
      <w:tr>
        <w:trPr>
          <w:trHeight w:val="507"/>
        </w:trPr>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1120" w:type="dxa"/>
            <w:vAlign w:val="bottom"/>
          </w:tcPr>
          <w:p>
            <w:pPr>
              <w:ind w:left="20"/>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Exhibits, Financial Statement Schedules</w:t>
              </w:r>
            </w:hyperlink>
          </w:p>
        </w:tc>
        <w:tc>
          <w:tcPr>
            <w:tcW w:w="7020" w:type="dxa"/>
            <w:vAlign w:val="bottom"/>
            <w:gridSpan w:val="9"/>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8">
              <w:r>
                <w:rPr>
                  <w:rFonts w:ascii="Arial" w:cs="Arial" w:eastAsia="Arial" w:hAnsi="Arial"/>
                  <w:sz w:val="18"/>
                  <w:szCs w:val="18"/>
                  <w:color w:val="0000FF"/>
                  <w:w w:val="79"/>
                </w:rPr>
                <w:t>88</w:t>
              </w:r>
            </w:hyperlink>
          </w:p>
        </w:tc>
        <w:tc>
          <w:tcPr>
            <w:tcW w:w="20" w:type="dxa"/>
            <w:vAlign w:val="bottom"/>
          </w:tcPr>
          <w:p>
            <w:pPr>
              <w:spacing w:after="0"/>
              <w:rPr>
                <w:sz w:val="24"/>
                <w:szCs w:val="24"/>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16.</w:t>
            </w:r>
          </w:p>
        </w:tc>
        <w:tc>
          <w:tcPr>
            <w:tcW w:w="9920" w:type="dxa"/>
            <w:vAlign w:val="bottom"/>
            <w:gridSpan w:val="20"/>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Form 10-K Summary</w:t>
              </w:r>
            </w:hyperlink>
          </w:p>
        </w:tc>
        <w:tc>
          <w:tcPr>
            <w:tcW w:w="180" w:type="dxa"/>
            <w:vAlign w:val="bottom"/>
            <w:gridSpan w:val="2"/>
          </w:tcPr>
          <w:p>
            <w:pPr>
              <w:jc w:val="right"/>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90</w:t>
              </w:r>
            </w:hyperlink>
          </w:p>
        </w:tc>
        <w:tc>
          <w:tcPr>
            <w:tcW w:w="20" w:type="dxa"/>
            <w:vAlign w:val="bottom"/>
          </w:tcPr>
          <w:p>
            <w:pPr>
              <w:spacing w:after="0"/>
              <w:rPr>
                <w:sz w:val="18"/>
                <w:szCs w:val="18"/>
                <w:color w:val="auto"/>
              </w:rPr>
            </w:pPr>
          </w:p>
        </w:tc>
      </w:tr>
      <w:tr>
        <w:trPr>
          <w:trHeight w:val="466"/>
        </w:trPr>
        <w:tc>
          <w:tcPr>
            <w:tcW w:w="1120" w:type="dxa"/>
            <w:vAlign w:val="bottom"/>
          </w:tcPr>
          <w:p>
            <w:pPr>
              <w:spacing w:after="0"/>
              <w:rPr>
                <w:sz w:val="24"/>
                <w:szCs w:val="24"/>
                <w:color w:val="auto"/>
              </w:rPr>
            </w:pPr>
          </w:p>
        </w:tc>
        <w:tc>
          <w:tcPr>
            <w:tcW w:w="7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5"/>
              </w:rPr>
            </w:pPr>
            <w:hyperlink w:anchor="page90">
              <w:r>
                <w:rPr>
                  <w:rFonts w:ascii="Arial" w:cs="Arial" w:eastAsia="Arial" w:hAnsi="Arial"/>
                  <w:sz w:val="18"/>
                  <w:szCs w:val="18"/>
                  <w:color w:val="0000FF"/>
                  <w:w w:val="85"/>
                </w:rPr>
                <w:t>Signatures</w:t>
              </w:r>
            </w:hyperlink>
          </w:p>
        </w:tc>
        <w:tc>
          <w:tcPr>
            <w:tcW w:w="760" w:type="dxa"/>
            <w:vAlign w:val="bottom"/>
            <w:tcBorders>
              <w:top w:val="single" w:sz="8" w:color="0000FF"/>
            </w:tcBorders>
            <w:gridSpan w:val="4"/>
          </w:tcPr>
          <w:p>
            <w:pPr>
              <w:spacing w:after="0"/>
              <w:rPr>
                <w:sz w:val="24"/>
                <w:szCs w:val="24"/>
                <w:color w:val="auto"/>
              </w:rPr>
            </w:pPr>
          </w:p>
        </w:tc>
        <w:tc>
          <w:tcPr>
            <w:tcW w:w="8380" w:type="dxa"/>
            <w:vAlign w:val="bottom"/>
            <w:gridSpan w:val="13"/>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91</w:t>
              </w:r>
            </w:hyperlink>
          </w:p>
        </w:tc>
        <w:tc>
          <w:tcPr>
            <w:tcW w:w="20" w:type="dxa"/>
            <w:vAlign w:val="bottom"/>
          </w:tcPr>
          <w:p>
            <w:pPr>
              <w:spacing w:after="0"/>
              <w:rPr>
                <w:sz w:val="24"/>
                <w:szCs w:val="24"/>
                <w:color w:val="auto"/>
              </w:rPr>
            </w:pPr>
          </w:p>
        </w:tc>
      </w:tr>
      <w:tr>
        <w:trPr>
          <w:trHeight w:val="750"/>
        </w:trPr>
        <w:tc>
          <w:tcPr>
            <w:tcW w:w="1120" w:type="dxa"/>
            <w:vAlign w:val="bottom"/>
          </w:tcPr>
          <w:p>
            <w:pPr>
              <w:spacing w:after="0"/>
              <w:rPr>
                <w:sz w:val="24"/>
                <w:szCs w:val="24"/>
                <w:color w:val="auto"/>
              </w:rPr>
            </w:pPr>
          </w:p>
        </w:tc>
        <w:tc>
          <w:tcPr>
            <w:tcW w:w="5440" w:type="dxa"/>
            <w:vAlign w:val="bottom"/>
            <w:gridSpan w:val="15"/>
          </w:tcPr>
          <w:p>
            <w:pPr>
              <w:jc w:val="center"/>
              <w:ind w:left="3470"/>
              <w:spacing w:after="0"/>
              <w:rPr>
                <w:sz w:val="20"/>
                <w:szCs w:val="20"/>
                <w:color w:val="auto"/>
              </w:rPr>
            </w:pPr>
            <w:r>
              <w:rPr>
                <w:rFonts w:ascii="Arial" w:cs="Arial" w:eastAsia="Arial" w:hAnsi="Arial"/>
                <w:sz w:val="18"/>
                <w:szCs w:val="18"/>
                <w:color w:val="auto"/>
                <w:w w:val="79"/>
              </w:rPr>
              <w:t>3</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STATEMENTS</w:t>
      </w:r>
    </w:p>
    <w:p>
      <w:pPr>
        <w:spacing w:after="0" w:line="25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Form 10-K, and other information provided by us or statements made by our directors, officers or employees from time to time, may contain statements that constitute forward-looking statements within the meaning of the Private Securities Litigation Reform Act of 1995 and other securities laws. Whenever we use words such as “believe,” “may,” “could,” “would,” “might,” “should,” “expect,” “intend,” “plan,” “estimate,” “target,” “anticipate” and negatives and derivatives of these or similar expressions, or when we make statements concerning future financial results, product offerings or other events that have not yet occurred, we are making forward-looking statements. These forward-looking statements are based upon our present intent, beliefs or expectations, but forward-looking statements are not guaranteed to occur and may not occur. Actual future results may differ materially from those contained in or implied by our forward-looking statements as a result of various factors. Such factors are more fully described in Part I, Item 1A of this Form 10-K under the heading “Risk Factors.” Although we have sought to identify the most significant risks to our business, we cannot predict whether, or to what extent, any of such risks may be realized. We also cannot assure you that we have identified all possible issues which we might face. We undertake no obligation to update any forward-looking statements that we make.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Progress Software Corporation ("Progress," the "Company," "we," "us," or "our") provides the best products to develop, deploy and manage high-impact applications. Our comprehensive product solutions are designed to make technology teams more productive and we have a deep commitment to the developer community, both open source and commercial alike. With Progress, organizations can accelerate the creation and delivery of strategic business applications, automate the process by which apps are configured, deployed and scaled, and make critical data and content more accessible and secure — leading to competitive differentiation and business success. Hundreds of thousands of enterprises, plus approximately 1,700 software companies and 3.5 million developers, depend on Progress to achieve their business goals.</w:t>
      </w:r>
    </w:p>
    <w:p>
      <w:pPr>
        <w:spacing w:after="0" w:line="21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products are generally sold as perpetual licenses, but certain products also use term licensing models and our cloud-based offerings use a subscription-based model. More than half of our worldwide license revenue is realized through relationships with indirect channel partners, principally ISVs, original equipment manufacturers ("OEMs"), distributors and value-added resellers.</w:t>
      </w:r>
    </w:p>
    <w:p>
      <w:pPr>
        <w:spacing w:after="0" w:line="2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operate in North America and Latin America (the "Americas"); Europe, the Middle East and Africa ("EMEA"); and the Asia Pacific region, through local subsidiaries as well as independent distributors.</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Strategic Plan and Operating Model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key tenets of our strategic plan and operating model are as follows: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Trusted Provider of the Best Products to Develop, Deploy and Manage High Impact Applications</w:t>
      </w:r>
      <w:r>
        <w:rPr>
          <w:rFonts w:ascii="Arial" w:cs="Arial" w:eastAsia="Arial" w:hAnsi="Arial"/>
          <w:sz w:val="18"/>
          <w:szCs w:val="18"/>
          <w:color w:val="auto"/>
        </w:rPr>
        <w:t>. A key element of our strategy is centered on</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the platform and tools enterprises need to build, deploy, and manage modern, strategic business applications. We offer these products and tools to both new customers and partners as well as our existing partner and customer ecosystems. This strategy builds on our vast experience in application development that we've acquired over the past 40 years.</w:t>
      </w:r>
    </w:p>
    <w:p>
      <w:pPr>
        <w:spacing w:after="0" w:line="207"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Focus on Customer and Partner Retention to Drive Recurring Revenue and Profitability</w:t>
      </w:r>
      <w:r>
        <w:rPr>
          <w:rFonts w:ascii="Arial" w:cs="Arial" w:eastAsia="Arial" w:hAnsi="Arial"/>
          <w:sz w:val="18"/>
          <w:szCs w:val="18"/>
          <w:color w:val="auto"/>
        </w:rPr>
        <w:t>. Our organizational philosophy and operating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focus primarily on customer and partner retention and success, and a streamlined operating approach in order to more efficiently drive predictable and stable recurring revenue and high levels of profitability.</w:t>
      </w:r>
    </w:p>
    <w:p>
      <w:pPr>
        <w:spacing w:after="0" w:line="203"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b w:val="1"/>
          <w:bCs w:val="1"/>
          <w:color w:val="auto"/>
        </w:rPr>
        <w:t xml:space="preserve">Total Growth Strategy Driven by Accretive M&amp;A. </w:t>
      </w:r>
      <w:r>
        <w:rPr>
          <w:rFonts w:ascii="Arial" w:cs="Arial" w:eastAsia="Arial" w:hAnsi="Arial"/>
          <w:sz w:val="17"/>
          <w:szCs w:val="17"/>
          <w:color w:val="auto"/>
        </w:rPr>
        <w:t>We are pursuing a total growth strategy driven by accretive acquisitions of businesses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software infrastructure space, with products that appeal to both IT organizations and individual developers. These acquisitions must meet strict financial and other criteria, with the goal of driving significant stockholder returns by providing scale and increased cash flows. As described below, in November 2021, we acquired Kemp Technologies, Inc. ("Kemp") in a transaction that we expect will meet these strict financial criteria.</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Kemp is the always-on application experience company that helps enterprises deliver, optimize and secure applications and networks across any cloud or hybrid environment. The purchase price for Kemp was $258 million and we funded the purchase price with existing cash balances. With this acquisition, we extended our portfolio of market-leading products in DevOps, Application Development, Data Connectivity and Digital Experience, adding Application Experience Management (AX). Kemp Loadmaster and Flowmon Network Visibility products monitor application performance, and distribute and balance traffic and workloads across servers, in the cloud or on premise, ensuring high performance and availability.</w:t>
      </w:r>
    </w:p>
    <w:p>
      <w:pPr>
        <w:sectPr>
          <w:pgSz w:w="11900" w:h="16838" w:orient="portrait"/>
          <w:cols w:equalWidth="0" w:num="1">
            <w:col w:w="11220"/>
          </w:cols>
          <w:pgMar w:left="320" w:top="769" w:right="35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We expect to continue to pursue acquisitions meeting our financial criteria and designed to expand our business and drive significant stockholder returns.</w:t>
      </w:r>
    </w:p>
    <w:p>
      <w:pPr>
        <w:spacing w:after="0" w:line="258"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Multi-Faceted Capital Allocation Strategy</w:t>
      </w:r>
      <w:r>
        <w:rPr>
          <w:rFonts w:ascii="Arial" w:cs="Arial" w:eastAsia="Arial" w:hAnsi="Arial"/>
          <w:sz w:val="18"/>
          <w:szCs w:val="18"/>
          <w:color w:val="auto"/>
        </w:rPr>
        <w:t>. Our capital allocation policy emphasizes accretive M&amp;A, which allows us to expand our business and drive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stockholder returns, and utilizes dividends and share repurchases to return capital to stockholders. We intend to repurchase our shares in sufficient quantities to offset dilution from our equity plans. Lastly, we return a significant portion of our annual cash flows from operations to stockholders in the form of dividends.</w:t>
      </w:r>
    </w:p>
    <w:p>
      <w:pPr>
        <w:spacing w:after="0" w:line="2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fiscal year 2021, we repurchased and retired 0.8 million shares of our common stock for $35.0 million. As of November 30, 2021, there was $155.0 million remaining under share repurchase authorization. The timing and amount of any shares repurchased will be determined by management based on its evaluation of market conditions and other factors, and the Board of Directors may choose to suspend, expand or discontinue the repurchase program at any time.</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began paying quarterly cash dividends of $0.125 per share of common stock to Progress stockholders in December 2016 and have paid quarterly dividends since that time. On September 21, 2021, our Board of Directors declared a quarterly dividend of $0.175 per share of common stock that was paid on December 15, 2021 to stockholders of record as of the close of business on December 1, 2021. Future declarations of dividends and the establishment of future record and payment dates are subject to the final determination of our Board of Directors.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Products and Solutions</w:t>
      </w:r>
    </w:p>
    <w:p>
      <w:pPr>
        <w:spacing w:after="0" w:line="2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provide the best products to develop, deploy and manage high-impact applications. Our comprehensive product solutions are designed to make technology teams more productive, and we have a deep commitment to the developer community, both open source and commercial alike. Described below are some of the solutions that make up our comprehensive product portfolio.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OpenEdge</w:t>
      </w:r>
    </w:p>
    <w:p>
      <w:pPr>
        <w:spacing w:after="0" w:line="25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OpenEdge is development software for building dynamic multi-language applications for secure deployment across any platform, any device, and any cloud. OpenEdge provides a unified environment comprising development tools, application servers, application management tools, an embedded relational database management system, and the capability to connect and integrate with other applications and data sources independently or with other Progress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Developer Tools</w:t>
      </w:r>
    </w:p>
    <w:p>
      <w:pPr>
        <w:spacing w:after="0" w:line="252"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Our Developer Tools products consist of a leading set of components for user interface (UI) development for Web, Mobile, Desktop, Chat and AR/VR apps, plus automated application testing and reporting tools. These products make development of modern, engaging application UIs fast and easy for</w:t>
      </w:r>
    </w:p>
    <w:p>
      <w:pPr>
        <w:ind w:right="20"/>
        <w:spacing w:after="0" w:line="260" w:lineRule="auto"/>
        <w:rPr>
          <w:sz w:val="20"/>
          <w:szCs w:val="20"/>
          <w:color w:val="auto"/>
        </w:rPr>
      </w:pPr>
      <w:r>
        <w:rPr>
          <w:rFonts w:ascii="Arial" w:cs="Arial" w:eastAsia="Arial" w:hAnsi="Arial"/>
          <w:sz w:val="18"/>
          <w:szCs w:val="18"/>
          <w:color w:val="auto"/>
        </w:rPr>
        <w:t>.NET and JavaScript developers. Developer Tools is focused on serving the evolving needs of our substantial developer community in creating modern and engaging applications. The products within Developer Tools are Telerik, Kendo UI, Fiddler and Test Studio.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Sitefinity</w:t>
      </w:r>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Sitefinity is a next-generation web content management and customer analytics platform for managing and optimizing digital experiences. Sitefinity combines superior end user experience with a high level of customization capabilities for developers.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Corticon</w:t>
      </w:r>
    </w:p>
    <w:p>
      <w:pPr>
        <w:spacing w:after="0" w:line="252"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Corticon is a market-leading Business Rules Management System that provides applications with decision automation, decision change process and decision-related insight capabilities. Corticon helps both business and IT users to quickly create or reuse business rules as well as create, improve, collaborate on, and maintain decision logic.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DataDirect Connect</w:t>
      </w:r>
    </w:p>
    <w:p>
      <w:pPr>
        <w:spacing w:after="0" w:line="25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DataDirect Connect provides data connectivity using industry-standard interfaces to connect applications running on various platforms to any major database, for both corporate IT organizations and software vendors. With software components embedded in the products of over 350 software companies and in the applications of thousands of large enterprises, DataDirect Connect is a global leader in the data connectivity market. The primary products, in addition to other drivers we have developed, are ODBC drivers, JDBC drivers and ADO.NET providers. They provide the capability to connect and integrate with other applications and data sources independently or with our cloud-based offerings.</w:t>
      </w:r>
    </w:p>
    <w:p>
      <w:pPr>
        <w:sectPr>
          <w:pgSz w:w="11900" w:h="16838" w:orient="portrait"/>
          <w:cols w:equalWidth="0" w:num="1">
            <w:col w:w="11220"/>
          </w:cols>
          <w:pgMar w:left="320" w:top="1016" w:right="35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i w:val="1"/>
          <w:iCs w:val="1"/>
          <w:color w:val="auto"/>
        </w:rPr>
        <w:t>MOVEit</w:t>
      </w:r>
    </w:p>
    <w:p>
      <w:pPr>
        <w:spacing w:after="0" w:line="25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MOVEit provides secure collaboration and automated file transfers of critical business information between users, locations and partners in compliance with data security regulations such as the Health Insurance Portability and Accountability Act (HIPAA), the Payment Card Industry Data Security Standard and the European Union's General Data Protection Regulation, and advanced workflow automation capabilities without the need for scripting.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Chef</w:t>
      </w:r>
    </w:p>
    <w:p>
      <w:pPr>
        <w:spacing w:after="0" w:line="2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Chef is a complete infrastructure automation platform to build, deploy, manage and secure applications in modern multi-cloud and hybrid environments, as well as on-premises. Chef Enterprise Automation Stack is the full suite of enterprise infrastructure, application and DevSecOps automation technologies delivering change quickly, repeatedly and securely. For more than ten years, Chef has led the industry in DevOps innovation, uniting teams at organizations of all sizes and optimizing processes and outcomes to accelerate its customers’ business growth. Chef software is developed as 100% open source.</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primary solutions within the Chef Enterprise Automation Stack are Chef Infra, Chef InSpec, Chef Habitat, Chef Compliance, Chef Automate and Chef Desktop. Chef Infra automates infrastructure configuration, ensuring every system is configured correctly and consistently. Chef InSpec provides a language for describing security and compliance rules that can be shared between software engineers, operations and security engineers. Chef Habitat provides automation capabilities for defining, packages and delivering applications to almost any environment, regardless of operating system or deployment platform. Chef Automate is an enterprise dashboard and analytics tool enabling cross-team collaboration with actionable insights for configuration and compliance and an auditable history of changes to environments. Chef Compliance helps enterprises maintain compliance and prevent security incidents across heterogenous estates. Chef Desktop allows IT teams to automate the deployment, management and ongoing compliance of IT resources.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WhatsUp Gold</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WhatsUp Gold is an award-winning network monitoring solution, which enables small and medium-sized businesses and enterprises to continuously monitor and manage their IT infrastructure and applications, assuring high levels of performance and availability.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Kemp Loadmaster</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Kemp LoadMaster load balancing solutions and extensive library of application deployment templates provide high performance and secure delivery of application workloads from a wide range of vendors in multiple sectors.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Kemp Flowmon Network Visibility</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Kemp Flowmon network performance monitoring and diagnostic (NPMD) solutions collect and analyze rich network telemetry from various sources, saving hours of tedious network troubleshooting and accelerating time-to-resolution. The Kemp Flowmon network detection and response (NDR) solutions combine machine learning, heuristics and advanced analytics to improve network performance, alert on network anomalies and provide early detection of advanced persistent threats.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Product Development</w:t>
      </w:r>
    </w:p>
    <w:p>
      <w:pPr>
        <w:spacing w:after="0" w:line="256"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Most of our products have been developed by our internal product development staff or the internal staffs of acquired companies. We believe that the features and performance of our products are competitive with those of other available development and deployment tools and that none of the current versions of our products are approaching obsolescence. However, we have invested, and expect to continue to invest in new product development and enhancements of our current products to maintain our competitive position.</w:t>
      </w:r>
    </w:p>
    <w:p>
      <w:pPr>
        <w:spacing w:after="0" w:line="21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primary development offices are located in Bedford, Massachusetts; Morrisville, North Carolina; Alpharetta, Georgia; Madison, Wisconsin; Sofia, Bulgaria; Limerick, Ireland; Brno, Czech Republic; and Bangalore and Hyderabad, India.</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sell our products globally through several channels: directly to end users and indirectly through independent software vendors, OEMs, and system integrators. Sales of our solutions and products through our direct sales force have historically been to business</w:t>
      </w:r>
    </w:p>
    <w:p>
      <w:pPr>
        <w:sectPr>
          <w:pgSz w:w="11900" w:h="16838" w:orient="portrait"/>
          <w:cols w:equalWidth="0" w:num="1">
            <w:col w:w="11220"/>
          </w:cols>
          <w:pgMar w:left="320" w:top="1016" w:right="35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type w:val="continuous"/>
        </w:sectPr>
      </w:pPr>
    </w:p>
    <w:bookmarkStart w:id="6" w:name="page7"/>
    <w:bookmarkEnd w:id="6"/>
    <w:p>
      <w:pPr>
        <w:ind w:right="460"/>
        <w:spacing w:after="0" w:line="277" w:lineRule="auto"/>
        <w:rPr>
          <w:sz w:val="20"/>
          <w:szCs w:val="20"/>
          <w:color w:val="auto"/>
        </w:rPr>
      </w:pPr>
      <w:r>
        <w:rPr>
          <w:rFonts w:ascii="Arial" w:cs="Arial" w:eastAsia="Arial" w:hAnsi="Arial"/>
          <w:sz w:val="18"/>
          <w:szCs w:val="18"/>
          <w:color w:val="auto"/>
        </w:rPr>
        <w:t>managers or IT managers in corporations and governmental agencies. We also target developers who create business applications, from individuals to teams, within enterprises of all sizes.</w:t>
      </w:r>
    </w:p>
    <w:p>
      <w:pPr>
        <w:spacing w:after="0" w:line="19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also sell our products through indirect channels, primarily ISVs. OEMs, and value-added resellers, who embed or add features to our products as part of an integrated solution. We use distributors and resellers, both internationally and domestically, in certain locations where we do not have a direct presence or where it is more economically or contractually feasible for us to do so. More than half of our license revenues are derived from these indirect channels.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Software Vendors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ISVs cover a broad range of markets, offer an extensive library of business applications and are a source of recurring revenue. We have kept entry costs, consisting primarily of the initial purchase of development licenses, low to encourage a wide variety of ISVs to build applications. If an ISV succeeds in marketing its applications, we obtain recurring revenue as the ISV licenses our deployment products to allow its application to be installed and used by customers. In recent years, a significantly increasing amount of our revenue from ISVs has been generated from ISVs who have chosen to enable their business applications under a software-as-a-service ("SaaS") platform.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Equipment Manufacturers</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enter into arrangements with OEMs in which the OEM embeds our products into its solutions, typically either software or technology devices. OEMs typically license the right to embed our products into their solutions and distribute those solutions for initial terms ranging from one to three years. Historically, most of our OEMs have renewed their agreements upon the expiration of the initial term. However, there is no assurance that they will continue to renew in the future. If any of our largest OEM customers were not to renew their agreements in the future, this could materially impact our DataDirect Connect product line.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Added Resellers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We enter into arrangements with value-added resellers (VARs) in which the VAR </w:t>
      </w:r>
      <w:r>
        <w:rPr>
          <w:rFonts w:ascii="Arial" w:cs="Arial" w:eastAsia="Arial" w:hAnsi="Arial"/>
          <w:sz w:val="18"/>
          <w:szCs w:val="18"/>
          <w:color w:val="222222"/>
        </w:rPr>
        <w:t>adds features or services to our products, then resell those products as an</w:t>
      </w:r>
      <w:r>
        <w:rPr>
          <w:rFonts w:ascii="Arial" w:cs="Arial" w:eastAsia="Arial" w:hAnsi="Arial"/>
          <w:sz w:val="18"/>
          <w:szCs w:val="18"/>
          <w:color w:val="auto"/>
        </w:rPr>
        <w:t xml:space="preserve"> </w:t>
      </w:r>
      <w:r>
        <w:rPr>
          <w:rFonts w:ascii="Arial" w:cs="Arial" w:eastAsia="Arial" w:hAnsi="Arial"/>
          <w:sz w:val="18"/>
          <w:szCs w:val="18"/>
          <w:color w:val="222222"/>
        </w:rPr>
        <w:t>integrated product or complete "turn-key" solution.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or partner has accounted for more than 10% of our total revenue in any of our last three fiscal years.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sell our products and solutions through our direct sales force and indirect channel partners. We have sold our products and solutions to enterprises in over 180 countries. Our sales and field marketing groups are organized primarily by region. We operate by region in the Americas, EMEA and Asia Pacific. We believe this structure allows us to maintain direct contact with our customers and support their diverse market requirements. Our international operations provide focused local sales, support and marketing efforts and are able to respond directly to changes in local conditions.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our direct sales efforts, we distribute our products through ISVs, systems integrators, resellers, distributors, and OEM partners in the United States and internationally. Systems integrators typically have expertise in vertical or functional markets. In some cases, they resell our products, bundling them with their broader service offerings. In other cases, they refer sales opportunities for our products to our direct sales force. Distributors sublicense our products and provide service and support within their territories. OEMs embed portions of our technology in their product offerings.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Sales personnel are responsible for developing new direct end user accounts, recruiting new indirect channel partners and new independent distributors, managing existing channel partner relationships and servicing existing customers. We actively seek to avoid conflict between the sales efforts of our ISVs and our own direct sales efforts. We use our inside sales teams to enhance our direct sales efforts and to generate new business and follow-on business from existing customers.</w:t>
      </w:r>
    </w:p>
    <w:p>
      <w:pPr>
        <w:spacing w:after="0" w:line="21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Our marketing personnel conduct a variety of marketing engagement programs designed to create demand for our products, enhance the market readiness of our products, raise the general awareness of our company and our products and solutions, generate leads for the sales organization and promote our various products. These programs include press relations, analyst relations, investor relations, digital/web marketing, marketing communications, participation in trade shows and industry conferences, and production of sales and marketing literature. We also hold and participate in global events, as well as regional user events in various locations throughout the world.</w:t>
      </w:r>
    </w:p>
    <w:p>
      <w:pPr>
        <w:spacing w:after="0" w:line="2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sales and marketing efforts with respect to certain of our products differ from our traditional sales and marketing efforts because the target markets are different. For these products, we have designed our marketing and sales model to be efficient for high volumes</w:t>
      </w:r>
    </w:p>
    <w:p>
      <w:pPr>
        <w:sectPr>
          <w:pgSz w:w="11900" w:h="16838" w:orient="portrait"/>
          <w:cols w:equalWidth="0" w:num="1">
            <w:col w:w="11240"/>
          </w:cols>
          <w:pgMar w:left="320" w:top="773" w:right="3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 w:name="page8"/>
    <w:bookmarkEnd w:id="7"/>
    <w:p>
      <w:pPr>
        <w:ind w:right="100"/>
        <w:spacing w:after="0" w:line="279" w:lineRule="auto"/>
        <w:rPr>
          <w:sz w:val="20"/>
          <w:szCs w:val="20"/>
          <w:color w:val="auto"/>
        </w:rPr>
      </w:pPr>
      <w:r>
        <w:rPr>
          <w:rFonts w:ascii="Arial" w:cs="Arial" w:eastAsia="Arial" w:hAnsi="Arial"/>
          <w:sz w:val="17"/>
          <w:szCs w:val="17"/>
          <w:color w:val="auto"/>
        </w:rPr>
        <w:t>of lower-price transactions. Our marketing efforts focus on driving traffic to our websites and on generating high quality sales leads, in many cases, consisting of developer end users who download a free evaluation of our software. Our sales efforts then focus on converting these leads into paying customers through a high volume, short duration sales process. Of particular importance to our target market, we enable our customers to buy our products in a manner convenient to them, whether by purchase order, online with a credit card or through our channel partners.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Customer Support</w:t>
      </w:r>
    </w:p>
    <w:p>
      <w:pPr>
        <w:spacing w:after="0" w:line="2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customer support staff provides telephone and Web-based support to end users, application developers and OEMs. Customers purchase maintenance services entitling them to software updates, technical support and technical bulletins. Maintenance is generally not required with our products and is purchased at the customer's option. We provide support to customers primarily through our main regional customer support centers in Bedford, Massachusetts; Melville, New York; Morrisville, North Carolina; Alpharetta, Georgia; Madison, Wisconsin; Limerick, Ireland; Rotterdam, The Netherlands; Brno, Czech Republic; Hyderabad, India; Singapore; and Sofia, Bulgaria. Local technical support for specific products is provided in certain other countries as well.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Professional Services</w:t>
      </w:r>
    </w:p>
    <w:p>
      <w:pPr>
        <w:spacing w:after="0" w:line="2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global professional services organization delivers business solutions for customers through a combination of products, consulting and education. Our consulting organization offers project management, implementation services, custom development, programming and other services. Our consulting organization also provides services to Web-enable existing applications or to take advantage of the capabilities of new product releases. Our education organization offers numerous training options, from traditional instructor-led courses to advanced learning modules available via the web or on digital media.</w:t>
      </w:r>
    </w:p>
    <w:p>
      <w:pPr>
        <w:spacing w:after="0" w:line="215"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Our services offerings include: application modernization; infrastructure automation; development operations; data management, managed database services; performance enhancements and tuning; and analytics/business intelligence.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computer software industry is intensely competitive. We experience significant competition from a variety of sources with respect to all of our products. We believe that certain competitive factors affect the market for our software products and services, which may include: (i) vendor and product reputation; (ii) product quality, performance and price; (iii) the availability of software products on multiple platforms; (iv) product scalability; (v) product integration with other enterprise applications; (vi) software functionality and features; (vii) software ease of use; (viii) the quality of professional services, customer support services and training; and (ix) the ability to address specific customer business problems. We believe the relative importance of each of these factors depends upon the concerns and needs of each specific customer.</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compete with multiple companies, some that have single or narrow solutions, and some that have a range of enterprise infrastructure solutions such as Salesforce.com, Inc., Amazon.com, Inc. and Microsoft Corporation. Many of these vendors offer platform-as-a-service, application development, data integration and other tools in conjunction with their CRM, web services, operating systems, and relational database management systems. We compete with software vendors that offer their products under a typical proprietary software license model, and various other vendors that offer their solutions in an open source licensing or freely available distribution model.</w:t>
      </w:r>
    </w:p>
    <w:p>
      <w:pPr>
        <w:spacing w:after="0" w:line="21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do not believe that there is a dominant vendor in the infrastructure software markets in which we compete. However, some of our competitors have greater financial, marketing or technical resources than we have and/or may have experience in, or be able to adapt more quickly to new or emerging technologies and changes in customer requirements or to devote greater resources to the development, promotion and sale of their products than we can. Increased competition could make it more difficult for us to maintain our revenue and market presence.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rely on a combination of contractual provisions and copyright, patent, trademark and trade secret laws to protect our proprietary rights in our products. Except as described below with respect to our Chef products, we generally distribute our products under software license agreements that grant customers a perpetual nonexclusive license to use our products and contain terms and conditions prohibiting the unauthorized reproduction or transfer of our products.</w:t>
      </w:r>
    </w:p>
    <w:p>
      <w:pPr>
        <w:spacing w:after="0" w:line="283" w:lineRule="auto"/>
        <w:rPr>
          <w:sz w:val="20"/>
          <w:szCs w:val="20"/>
          <w:color w:val="auto"/>
        </w:rPr>
      </w:pPr>
      <w:r>
        <w:rPr>
          <w:rFonts w:ascii="Arial" w:cs="Arial" w:eastAsia="Arial" w:hAnsi="Arial"/>
          <w:sz w:val="16"/>
          <w:szCs w:val="16"/>
          <w:color w:val="auto"/>
        </w:rPr>
        <w:t>We also distribute our products through various channel partners, including ISVs, OEMs and system integrators. We also license our products under term or subscription arrangements. In addition, we attempt to protect our trade secrets and other proprietary information through agreements with employees, consultants and channel partners. Although we intend to protect our rights vigorously, there is no assurance that these measures will be successful.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 w:name="page9"/>
    <w:bookmarkEnd w:id="8"/>
    <w:p>
      <w:pPr>
        <w:ind w:right="140"/>
        <w:spacing w:after="0" w:line="286" w:lineRule="auto"/>
        <w:rPr>
          <w:sz w:val="20"/>
          <w:szCs w:val="20"/>
          <w:color w:val="auto"/>
        </w:rPr>
      </w:pPr>
      <w:r>
        <w:rPr>
          <w:rFonts w:ascii="Arial" w:cs="Arial" w:eastAsia="Arial" w:hAnsi="Arial"/>
          <w:sz w:val="17"/>
          <w:szCs w:val="17"/>
          <w:color w:val="auto"/>
        </w:rPr>
        <w:t>We seek to protect the source code of our products as trade secrets and as unpublished copyrighted works. We hold numerous patents covering portions of our products. We also have several patent applications for some of our other product technologies. Where possible, we seek to obtain protection of our product names and service offerings through trademark registration and other similar procedures throughout the world.</w:t>
      </w:r>
    </w:p>
    <w:p>
      <w:pPr>
        <w:spacing w:after="0" w:line="192"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color w:val="auto"/>
        </w:rPr>
        <w:t>Our Chef offerings incorporate software components licensed to the general public under open source licenses. We obtain many components from software developed and released by contributors to independent open source components of our offerings. Open source licenses grant licensees broad permissions to use, copy, modify and redistribute our platform. As a result, open source development and licensing practices can limit the value of our software copyright assets.</w:t>
      </w:r>
    </w:p>
    <w:p>
      <w:pPr>
        <w:spacing w:after="0" w:line="21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believe that due to the rapid pace of innovation within our industry, factors such as the technological and creative skills of our personnel are as important in establishing and maintaining a leadership position within the industry as are the various legal protections of our technology. In addition, we believe that the nature of our customers, the importance of our products to them and their need for continuing product support may reduce the risk of unauthorized reproduction, although no assurances can be made in this regard.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Segment and Geographical Information</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Operating segments are components of an enterprise that engage in business activities for which discrete financial information is available and regularly reviewed by the chief operating decision maker ("CODM") in deciding how to allocate resources and assess performance. Our CODM is our Chief Executive Officer.</w:t>
      </w:r>
    </w:p>
    <w:p>
      <w:pPr>
        <w:spacing w:after="0" w:line="21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Beginning in the second quarter of fiscal year 2021, we operate as one operating segment: software products to develop, deploy, and manage high-impact business applications. Our CODM evaluates financial information on a consolidated basis. As we operate as one operating segment, the required financial segment information can be found in the condensed consolidated financial statements. Refer to Note 15: Revenue Recognition and Note 19: Business Segments and International Operations to our Consolidated Financial Statements in Part II, Item 8 of this Form 10-K for information by geographic area.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November 30, 2021, we had 2,103 employees worldwide, including 719 in sales and marketing, 326 in customer support and services, 818 in product development and 240 in administration.</w:t>
      </w:r>
    </w:p>
    <w:p>
      <w:pPr>
        <w:spacing w:after="0" w:line="19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None of our U.S. employees are subject to a collective bargaining agreement. Employees in certain foreign jurisdictions are represented by local workers’ councils and/or collective bargaining agreements as may be customary or required in those jurisdictions. We have experienced no work stoppages and believe our relations with employees are good.</w:t>
      </w:r>
    </w:p>
    <w:p>
      <w:pPr>
        <w:spacing w:after="0" w:line="211"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We believe that our future success largely depends upon our continued ability to attract and retain highly skilled employees. We provide our employees with competitive compensation and benefits, opportunities for equity ownership, and development programs that enable continued learning and growth.</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40404"/>
        </w:rPr>
        <w:t>Employee Engagement, Development and Training</w:t>
      </w:r>
    </w:p>
    <w:p>
      <w:pPr>
        <w:spacing w:after="0" w:line="23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invest significant resources to develop our in-house talent and deepen our employees’ skill sets, both to strengthen our company and help further our employees’ personal career goals. We empower our employees to drive their career aspirations and set personal development objectives in partnership with their managers. To strengthen these conversations, we train managers across the globe to partner with employees through career conversations, as well as provide career development training for all employees so that they can successfully leverage the many tools in place to support them.</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match the location and learning specifics of our people, we combine various channels for personal and technical development: on-demand videos, webinars, classroom trainings, text-based resources, coaching, and more. We also believe strongly in fostering our employees’ personal growth and offer programs like tuition reimbursement.</w:t>
      </w:r>
    </w:p>
    <w:p>
      <w:pPr>
        <w:spacing w:after="0" w:line="20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efforts to recruit and retain a diverse and inclusive workforce include providing competitive compensation and benefit packages worldwide and ensuring we listen to our employees. To that end, we regularly survey our employees to obtain their views and assess employee satisfaction. We use the views expressed in the surveys to influence our people strategy and policies. We also use employee survey information to gain insights into how and where we work.</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040506"/>
        </w:rPr>
        <w:t>COVID-19 Response</w:t>
      </w:r>
    </w:p>
    <w:p>
      <w:pPr>
        <w:spacing w:after="0" w:line="239"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In response to the COVID -19 pandemic, we implemented significant changes that we determined were in the best interest of our employees as well as the communities in which we operate. This includes having the vast majority of our employees work from home, while implementing additional safety measures for employees continuing critical on-site work. We also provided a work-from-home reimbursement policy to assist employees in that transition and added several company-wide paid days off and caregiving support to help employees balance their work and life responsibilities.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Work Approach</w:t>
      </w:r>
    </w:p>
    <w:p>
      <w:pPr>
        <w:spacing w:after="0" w:line="239" w:lineRule="exact"/>
        <w:rPr>
          <w:sz w:val="20"/>
          <w:szCs w:val="20"/>
          <w:color w:val="auto"/>
        </w:rPr>
      </w:pPr>
    </w:p>
    <w:p>
      <w:pPr>
        <w:ind w:right="20"/>
        <w:spacing w:after="0" w:line="208" w:lineRule="exact"/>
        <w:rPr>
          <w:sz w:val="20"/>
          <w:szCs w:val="20"/>
          <w:color w:val="auto"/>
        </w:rPr>
      </w:pPr>
      <w:r>
        <w:rPr>
          <w:rFonts w:ascii="Arial" w:cs="Arial" w:eastAsia="Arial" w:hAnsi="Arial"/>
          <w:sz w:val="16"/>
          <w:szCs w:val="16"/>
          <w:color w:val="auto"/>
        </w:rPr>
        <w:t>The COVID</w:t>
      </w:r>
      <w:r>
        <w:rPr>
          <w:rFonts w:ascii="MS PGothic" w:cs="MS PGothic" w:eastAsia="MS PGothic" w:hAnsi="MS PGothic"/>
          <w:sz w:val="16"/>
          <w:szCs w:val="16"/>
          <w:color w:val="auto"/>
        </w:rPr>
        <w:t>‐</w:t>
      </w:r>
      <w:r>
        <w:rPr>
          <w:rFonts w:ascii="Arial" w:cs="Arial" w:eastAsia="Arial" w:hAnsi="Arial"/>
          <w:sz w:val="16"/>
          <w:szCs w:val="16"/>
          <w:color w:val="auto"/>
        </w:rPr>
        <w:t>19 pandemic has significantly changed the way employees think about where and how they work. For most of our employees, productivity is no longer tied to being in an office and collaboration can happen between people anywhere. Our view of our offices has evolved to places for collaboration and in-person interactions rather than the only places where productive work can occur. In 2021 we announced a modern approach to work that gives our employees more flexibility to choose where to work. Depending on their role, this means that employees can choose their office location, as well as continue to work from home some or all the time. We expect this flexible approach will help us recruit and retain employees.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40506"/>
        </w:rPr>
        <w:t>Inclusion and Diversity</w:t>
      </w:r>
    </w:p>
    <w:p>
      <w:pPr>
        <w:spacing w:after="0" w:line="23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a multicultural company serving a global community, we encourage a wide range of views and celebrate our diverse backgrounds. We are committed to creating a culture of innovation and inspiration, where employees feel a strong sense of community and pride in the company and the successes they have helped to achieve.</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launched an inclusion and diversity (I&amp;D) undertaking focused on fostering an inclusive environment and diverse workforce by strengthening the following core areas of our organization: culture and belonging; talent acquisition; leveraging talent; management and leadership; and career development. To ensure success of our I&amp;D efforts, we formed an Inclusion and Diversity Advisory Committee, made up of a diverse group of Progress employees from around the globe with varying backgrounds, skill sets and viewpoints. This committee has been tasked with supporting the formation and implementation of enterprise-wide I&amp;D initiatives and ensuring a clear I&amp;D vision is established and articulated in a way that is authentic for everyone at Progress. Among its many accomplishments, the committee helped to establish a governance framework for Progress Employee Resource Groups (ERGs), supported the formation of our first ERGs, , and contributed to the strengthening of our career and hiring processes. We now have six ERGs: Progress for Her, Blacks at Progress, Plus (LGTBQ+), veterans@progress, ASPIRE (Asian Pacific Islanders) and Unidos en Progress.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those reports filed or furnished pursuant to Sections 13(a) and 15(d) of the Securities Exchange Act of 1934, as amended, are available free of charge on our website at www.progress.com as soon as reasonably practicable after such reports are electronically filed with, or furnished to, the SEC at www.sec.gov. The information posted on our website is not incorporated into this Annual Report.</w:t>
      </w: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Code of Conduct and Business Ethics is also available on our website. Additional information about this code and amendments and waivers thereto can be found below in Part III, Item 10 of this Form 10-K.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in a rapidly changing environment that involves certain risks and uncertainties, some of which are beyond our control. The risks discussed below could materially affect our business, financial condition and future results. The risks described below are not the only risks we face. Additional risks and uncertainties not currently known to us or that we currently deem to be immaterial also may materially adversely affect our business, financial condition or operating results in the future.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Ability to Grow Our Business</w:t>
      </w:r>
    </w:p>
    <w:p>
      <w:pPr>
        <w:spacing w:after="0" w:line="256"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b w:val="1"/>
          <w:bCs w:val="1"/>
          <w:i w:val="1"/>
          <w:iCs w:val="1"/>
          <w:color w:val="auto"/>
        </w:rPr>
        <w:t xml:space="preserve">The ongoing COVID-19 pandemic could materially and adversely affect our business, results of operations and financial condition. </w:t>
      </w:r>
      <w:r>
        <w:rPr>
          <w:rFonts w:ascii="Arial" w:cs="Arial" w:eastAsia="Arial" w:hAnsi="Arial"/>
          <w:sz w:val="16"/>
          <w:szCs w:val="16"/>
          <w:color w:val="auto"/>
        </w:rPr>
        <w:t>In March 2020,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 Health Organization declared the outbreak of COVID-19 a pandemic, which has spread throughout the United States and the world and has resulted in authorities implementing and re-implementing numerous measures to contain the virus, including travel bans and restrictions, quarantines, shelter-in-place orders, and business limitations and shutdowns. The COVID-19 pandemic continues to evolve, and measures remain in place to varying degrees as the rate and pace of recovery from COVID-19 has differed and continues to differ by geography and industry.</w:t>
      </w:r>
    </w:p>
    <w:p>
      <w:pPr>
        <w:spacing w:after="0" w:line="18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Given the economic uncertainty created by the COVID-19 pandemic, we could see delays in our sales cycle, failures of customers to renew at all or to renew at the anticipated scope their subscriptions with us, requests from customers for payment term deferrals as well as pricing or bundling concessions, which, if significant, could materially and adversely affect our business, results of operations and financial condition. In addition, our third-party service providers may experience financial difficulties or business disruptions that could negatively affect their operations and their ability to supply us with services needed for our products and operations. Although these events did not have a material adverse impact on our financial results for the fiscal year ended November 30, 2021, there can be no assurance that these events will not have a material adverse impact on our financial results for the full fiscal year or future periods.</w:t>
      </w:r>
    </w:p>
    <w:p>
      <w:pPr>
        <w:spacing w:after="0" w:line="218"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full extent of the COVID-19 pandemic’s impact on our operations and financial performance depends on future developments that are uncertain and unpredictable, including the duration and spread of the pandemic, its impact on capital and financial markets, the timing of economic recovery, the spread of the virus to other regions, and the actions taken to contain it, among others. Any of these impacts could have a material adverse impact on our business, results of operations and financial condition and ability to execute and capitalize on our strategies. Due to the ongoing uncertainty regarding the severity and duration of the COVID-19 pandemic, we cannot predict whether our response to date or the actions we may take in the future will be effective mitigating the effects of the COVID-19 pandemic on our business, results of operations or financial condition. Accordingly, we are unable at this time to predict the future impact of the COVID-19 pandemic on our operations, liquidity, and financial results, and, depending on the magnitude and duration of the COVID-19 pandemic, such impact may be material.</w:t>
      </w:r>
    </w:p>
    <w:p>
      <w:pPr>
        <w:spacing w:after="0" w:line="208"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 xml:space="preserve">Technology and customer requirements evolve rapidly in our industry, and if we do not continue to develop new products and enhance our existing products in response to these changes, our business could be harmed. </w:t>
      </w:r>
      <w:r>
        <w:rPr>
          <w:rFonts w:ascii="Arial" w:cs="Arial" w:eastAsia="Arial" w:hAnsi="Arial"/>
          <w:sz w:val="15"/>
          <w:szCs w:val="15"/>
          <w:color w:val="auto"/>
        </w:rPr>
        <w:t>Ongoing enhancements to our product sets will be required to enable us to maintain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competitive position and the competitive position of our ISVs, distributors/resellers, and OEMs. We may not be successful in developing and marketing enhancements to our products on a timely basis, and any enhancements we develop may not adequately address the changing needs of the marketplace.</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Overlaying the risks associated with our existing products and enhancements are ongoing technological developments and rapid changes in customer and partner requirements. Our future success will depend upon our ability to develop and introduce new products in a timely manner that take advantage of technological advances and respond to new customer and partner requirements. We may not be successful in developing new products incorporating new technology on a timely basis, and any new products we develop may not adequately address the changing needs of the marketplace or may not be accepted by the market. Failure to develop new products and product enhancements that meet market needs in a timely manner could have a material adverse effect on our business, financial condition and operating results.</w:t>
      </w:r>
    </w:p>
    <w:p>
      <w:pPr>
        <w:spacing w:after="0" w:line="219"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b w:val="1"/>
          <w:bCs w:val="1"/>
          <w:i w:val="1"/>
          <w:iCs w:val="1"/>
          <w:color w:val="auto"/>
        </w:rPr>
        <w:t xml:space="preserve">We are substantially dependent on our OpenEdge products. </w:t>
      </w:r>
      <w:r>
        <w:rPr>
          <w:rFonts w:ascii="Arial" w:cs="Arial" w:eastAsia="Arial" w:hAnsi="Arial"/>
          <w:sz w:val="18"/>
          <w:szCs w:val="18"/>
          <w:color w:val="auto"/>
        </w:rPr>
        <w:t>We derive a significant portion of our revenue from software license and maintenance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attributable to our OpenEdge product set. Accordingly, our future results depend on continued market acceptance of OpenEdge. If consumer demand declines, or new technologies emerge that are superior to, or are more responsive to customer requirements than, OpenEdge such that we are unable to maintain OpenEdge’s competitive position within its marketplace, our business, financial condition and operating results may be materially adversely affected.</w:t>
      </w:r>
    </w:p>
    <w:p>
      <w:pPr>
        <w:spacing w:after="0" w:line="21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i w:val="1"/>
          <w:iCs w:val="1"/>
          <w:color w:val="auto"/>
        </w:rPr>
        <w:t xml:space="preserve">The segments of the software industry in which we participate are intensely competitive, and our inability to compete effectively could harm our business. </w:t>
      </w:r>
      <w:r>
        <w:rPr>
          <w:rFonts w:ascii="Arial" w:cs="Arial" w:eastAsia="Arial" w:hAnsi="Arial"/>
          <w:sz w:val="17"/>
          <w:szCs w:val="17"/>
          <w:color w:val="auto"/>
        </w:rPr>
        <w:t>We experience significant competition from a variety of sources with respect to the marketing and distribution of our products. Many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competitors have greater financial, marketing or technical resources than we do and may be able to adapt more quickly to new or emerging technologies and changes in customer requirements or to devote greater resources to the promotion and sale of their products than we can. Increased competition could make it more difficult for us to maintain our market presence or lead to downward pricing pressure.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 w:name="page12"/>
    <w:bookmarkEnd w:id="11"/>
    <w:p>
      <w:pPr>
        <w:ind w:right="40"/>
        <w:spacing w:after="0" w:line="290" w:lineRule="auto"/>
        <w:rPr>
          <w:sz w:val="20"/>
          <w:szCs w:val="20"/>
          <w:color w:val="auto"/>
        </w:rPr>
      </w:pPr>
      <w:r>
        <w:rPr>
          <w:rFonts w:ascii="Arial" w:cs="Arial" w:eastAsia="Arial" w:hAnsi="Arial"/>
          <w:sz w:val="16"/>
          <w:szCs w:val="16"/>
          <w:color w:val="auto"/>
        </w:rPr>
        <w:t>In addition, the marketplace for new products is intensely competitive and characterized by low barriers to entry. For example, an increase in market acceptance of open source software may cause downward pricing pressures. One of the characteristics of open source software is that the governing license terms generally allow liberal modifications of the code and distribution thereof to a wide group of companies and/or individuals. As a result, others could easily develop new software products or services based upon those open source programs that compete with existing open source software that we support and incorporate into our Chef products. As a result, new competitors possessing technological, marketing or other competitive advantages may emerge and develop their own open source software or hybrid proprietary and open source software offerings, potentially reducing the demand for, and putting price</w:t>
      </w:r>
    </w:p>
    <w:p>
      <w:pPr>
        <w:spacing w:after="0" w:line="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pressure on, our products enabling them to rapidly acquire market share. In addition, current and potential competitors may make strategic acquisitions or establish cooperative relationships among themselves or with third parties, thereby increasing their ability to deliver products that better address the needs of our prospective customers. Current and potential competitors may also be more successful than we are in having their products or technologies widely accepted. We may be unable to compete successfully against current and future competitors, and our failure to do so could have a material adverse effect on our business, prospects, financial condition and operating results.</w:t>
      </w:r>
    </w:p>
    <w:p>
      <w:pPr>
        <w:spacing w:after="0" w:line="21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 xml:space="preserve">We intend to make additional acquisitions of businesses, products or technologies that involve additional risks, which could disrupt our business or harm our financial condition, results of operations or cash flows. </w:t>
      </w:r>
      <w:r>
        <w:rPr>
          <w:rFonts w:ascii="Arial" w:cs="Arial" w:eastAsia="Arial" w:hAnsi="Arial"/>
          <w:sz w:val="18"/>
          <w:szCs w:val="18"/>
          <w:color w:val="auto"/>
        </w:rPr>
        <w:t>A key element of our strategy includes the acquisition of businesses that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complementary products, services and technologies, augment our revenues and cash flows, and meet our strict financial and other criteria. We may not be able to identify suitable acquisition opportunities, or to consummate any such transactions. Any acquisitions that we do complete and their integration involve a number of risks, the occurrence of which could have a material adverse effect on our business, financial condition, operating results or cash flows, including:</w:t>
      </w:r>
    </w:p>
    <w:p>
      <w:pPr>
        <w:spacing w:after="0" w:line="21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delays, challenges and related expenses, and the disruption of our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of assimilating the operations and personnel of acquired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inability to realize the value of the acquired assets relative to the price paid;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distraction of management from our ongoing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product disruptions associated with the sale of the acquired business's products;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that an acquisition may not further our business strategy as we expected, may not result in revenue and cash flow growth to the degree we expected or at all, or may not achieve expected synergies;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of incurring significant restructuring charges and amortization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assumption of the acquired business's liabilities or any ongoing lawsuits;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impairment to assets that we recorded as a part of an acquisition, including intangible assets and goodwill;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the extent that we issue stock to pay for an acquisition, dilution to existing stockholders and decreased earnings per share.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Difficulties associated with any acquisitions we may pursue, and their integration may be complicated by factors such as:</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of the business or entity acquired;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geographic and cultural differences;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of experience operating in the industry or geographic markets of the acquired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loss of key employees and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deficiencies in internal controls at the acquired or combined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performance problems with the acquired business’s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unanticipated liabilities of the acquired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insufficient revenue to offset increased expenses associated with the acquisition;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fail to complete an announced acquisition, our stock price could fall to the extent the price reflects an assumption that such acquisition will be completed, and we may incur significant unrecoverable costs. Further, the failure to consummate an acquisition may result in negative publicity and adversely impact our relationships with our customers, vendors and employees. We may become subject to legal proceedings relating to the acquisition and the integration of acquired businesses may not be successful. Failure to manage and successfully integrate acquired businesses, achieve anticipated levels of profitability of the acquired business, improve margins of the acquired businesses and products, or realize other anticipated benefits of an acquisition could materially harm our business, operating results and margins.</w:t>
      </w: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 acquire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cause a change in circumstances, indicating that the carrying value of our goodwill or amortizable intangible assets may not be recoverable, include a decline in our stock price and market capitalization, reduced future cash flow estimates, and slower growth rates</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12" w:name="page13"/>
    <w:bookmarkEnd w:id="12"/>
    <w:p>
      <w:pPr>
        <w:ind w:right="140"/>
        <w:spacing w:after="0" w:line="308" w:lineRule="auto"/>
        <w:rPr>
          <w:sz w:val="20"/>
          <w:szCs w:val="20"/>
          <w:color w:val="auto"/>
        </w:rPr>
      </w:pPr>
      <w:r>
        <w:rPr>
          <w:rFonts w:ascii="Arial" w:cs="Arial" w:eastAsia="Arial" w:hAnsi="Arial"/>
          <w:sz w:val="17"/>
          <w:szCs w:val="17"/>
          <w:color w:val="auto"/>
        </w:rPr>
        <w:t>in industry segments in which we participate. We may be required to record a significant charge in our consolidated financial statements during the period in which any impairment of our goodwill or amortizable intangible assets is determined, negatively affecting our results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256"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b w:val="1"/>
          <w:bCs w:val="1"/>
          <w:i w:val="1"/>
          <w:iCs w:val="1"/>
          <w:color w:val="auto"/>
        </w:rPr>
        <w:t xml:space="preserve">We recognize a substantial portion of our revenue from sales made through third parties, including our ISVs, distributors/resellers, and OEMs, and adverse developments in the businesses of these third parties or in our relationships with them could harm our revenues and results of operations. </w:t>
      </w:r>
      <w:r>
        <w:rPr>
          <w:rFonts w:ascii="Arial" w:cs="Arial" w:eastAsia="Arial" w:hAnsi="Arial"/>
          <w:sz w:val="15"/>
          <w:szCs w:val="15"/>
          <w:color w:val="auto"/>
        </w:rPr>
        <w:t>Our</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future results depend in large part upon our continued successful distribution of our products through our ISV, distributor/reseller, and OEM channels. The activities of these third parties are not within our direct control. Our failure to manage our relationships with these third parties effectively could impair the success of our sales, marketing and support activities. A reduction in the sales efforts, technical capabilities or financial viability of these parties, a misalignment of interest between us and them, or a termination of our relationship with a major ISV, distributor/reseller, or OEM could have a negative effect on our sales and financial results. Any adverse effect on any of our ISV's, distributors'/resellers', or OEMs’ businesses related to competition, pricing and other factors could also have a material adverse effect on our business, financial condition and operating results.</w:t>
      </w:r>
    </w:p>
    <w:p>
      <w:pPr>
        <w:spacing w:after="0" w:line="191"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i w:val="1"/>
          <w:iCs w:val="1"/>
          <w:color w:val="auto"/>
        </w:rPr>
        <w:t xml:space="preserve">A failure of our information technology systems could have a material adverse effect on our business. </w:t>
      </w:r>
      <w:r>
        <w:rPr>
          <w:rFonts w:ascii="Arial" w:cs="Arial" w:eastAsia="Arial" w:hAnsi="Arial"/>
          <w:sz w:val="16"/>
          <w:szCs w:val="16"/>
          <w:color w:val="auto"/>
        </w:rPr>
        <w:t>We rely on our technology infrastructure,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infrastructure of third parties, for many functions, including selling our products, supporting our ISVs and other third-party channels, fulfilling orders and billing, and collecting and making payments. This technology infrastructure may be vulnerable to damage or interruption from natural disasters, power loss, telecommunication failures, terrorist attacks, computer intrusions, vulnerabilities and viruses, software errors, computer denial-of-service attacks and other events. A significant number of the systems making up this infrastructure are not redundant, and our disaster recovery planning may not be sufficient for every eventuality. This technology infrastructure may fail or be vulnerable to damage or interruption because of actions by third parties or employee error or malfeasance. We may not carry business interruption insurance sufficient to protect us from all losses that may result from interruptions in our services as a result of technology infrastructure failures or to cover all contingencies. Any interruption in the availability of our websites and on-line interactions with customers or partners may cause a reduction in customer or partner satisfaction levels, which in turn could cause additional claims, reduced revenue or loss of customers or partners. Despite any precautions we may take, these problems could result in, among other consequences, a loss of data, loss of confidence in the stability and reliability of our offerings, damage to our reputation, and legal liability, all of which may adversely affect our business, financial condition, operating results and cash flows.</w:t>
      </w:r>
    </w:p>
    <w:p>
      <w:pPr>
        <w:spacing w:after="0" w:line="19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b w:val="1"/>
          <w:bCs w:val="1"/>
          <w:i w:val="1"/>
          <w:iCs w:val="1"/>
          <w:color w:val="auto"/>
        </w:rPr>
        <w:t>Our international operations expose us to additional risks, and changes in global economic and political conditions could adversely affect our international operations, our revenue and our net income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41% of our total revenue is generated from sales outside North America.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Political and/or financial instability, oil price shocks and armed conflict in various regions of the world can lead to economic uncertainty and may adversely</w:t>
      </w:r>
    </w:p>
    <w:p>
      <w:pPr>
        <w:spacing w:after="0" w:line="1" w:lineRule="exact"/>
        <w:rPr>
          <w:sz w:val="20"/>
          <w:szCs w:val="20"/>
          <w:color w:val="auto"/>
        </w:rPr>
      </w:pPr>
    </w:p>
    <w:p>
      <w:pPr>
        <w:jc w:val="both"/>
        <w:ind w:right="200"/>
        <w:spacing w:after="0" w:line="277" w:lineRule="auto"/>
        <w:rPr>
          <w:sz w:val="20"/>
          <w:szCs w:val="20"/>
          <w:color w:val="auto"/>
        </w:rPr>
      </w:pPr>
      <w:r>
        <w:rPr>
          <w:rFonts w:ascii="Arial" w:cs="Arial" w:eastAsia="Arial" w:hAnsi="Arial"/>
          <w:sz w:val="17"/>
          <w:szCs w:val="17"/>
          <w:color w:val="auto"/>
        </w:rPr>
        <w:t>impact our business. Political instability may lead to significant, continuing volatility in global stock markets and currency exchange rate fluctuations. If customers’ buying patterns, decision-making processes, timing of expected deliveries and timing of new projects unfavorably change due to economic or political conditions, there would be a material adverse effect on our business, financial condition and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Other potential risks inherent in our international business include:</w:t>
      </w:r>
    </w:p>
    <w:p>
      <w:pPr>
        <w:spacing w:after="0" w:line="2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 risk and higher levels of payment fraud;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varying regulatory and legal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international and local trade, labor and export control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developing, staffing, and simultaneously managing a large number of varying foreign operations as a result of distance, legal impediments and language and cultural differences;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or minimal protection of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laws and business practices that favor local competitors or prohibit foreign ownership of certain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U.S. or foreign trade policies or practices that increase costs or restrict the distribution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reductions in business activity during the summer months in Europe and certain other parts of the world;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instability in emerging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3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Any one or more of these factors could have a material adverse effect on our international operations, and, consequently,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 w:name="page14"/>
    <w:bookmarkEnd w:id="13"/>
    <w:p>
      <w:pPr>
        <w:spacing w:after="0" w:line="296" w:lineRule="auto"/>
        <w:rPr>
          <w:sz w:val="20"/>
          <w:szCs w:val="20"/>
          <w:color w:val="auto"/>
        </w:rPr>
      </w:pPr>
      <w:r>
        <w:rPr>
          <w:rFonts w:ascii="Arial" w:cs="Arial" w:eastAsia="Arial" w:hAnsi="Arial"/>
          <w:sz w:val="16"/>
          <w:szCs w:val="16"/>
          <w:color w:val="auto"/>
        </w:rPr>
        <w:t>In addition, our business has been, and could in the future be, adversely affected by regional or global health crises, including an outbreak of contagious disease such as COVID-19. A significant outbreak of contagious diseases and other adverse public health developments, or the fear of such events that results in a widespread health crisis could adversely affect global supply chains and the economies and financial markets of many countries. Any prolonged economic disruption could affect demand for our products and services and adversely impact our results of operations and financial condition. The full impact of the coronavirus outbreak is unknown at this time. We continue to monitor developments and the potential effect on our business.</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i w:val="1"/>
          <w:iCs w:val="1"/>
          <w:color w:val="auto"/>
        </w:rPr>
        <w:t xml:space="preserve">Fluctuations in foreign currency exchange rates could have an adverse impact on our financial condition and results of operations. </w:t>
      </w:r>
      <w:r>
        <w:rPr>
          <w:rFonts w:ascii="Arial" w:cs="Arial" w:eastAsia="Arial" w:hAnsi="Arial"/>
          <w:sz w:val="16"/>
          <w:szCs w:val="16"/>
          <w:color w:val="auto"/>
        </w:rPr>
        <w:t>Changes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foreign currencies relative to the U.S. dollar could adversely affect our results of operations and financial position. For example, during periods in which the value of the U.S. dollar strengthens in comparison to certain foreign currencies, particularly in Europe, Brazil and Australia, our reported international revenue is reduced because foreign currencies translate into fewer U.S. dollars. As approximately one-third of our revenue is denominated in foreign currencies, our revenue results have been impacted, and we expect will continue to be impacted, by fluctuations in foreign currency exchange rates.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seek to reduce our exposure to fluctuations in exchange rates by entering into foreign exchange forward contracts to hedge certain actual and forecasted transactions of selected currencies (mainly in Europe, Brazil, India and Australia). Our currency hedging transactions may not be effective in reducing any adverse impact of fluctuations in foreign currency exchange rates. Further, the imposition of exchange or price controls or other restrictions on the conversion of foreign currencies could have a material adverse effect on our business.</w:t>
      </w:r>
    </w:p>
    <w:p>
      <w:pPr>
        <w:spacing w:after="0" w:line="214"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i w:val="1"/>
          <w:iCs w:val="1"/>
          <w:color w:val="auto"/>
        </w:rPr>
        <w:t xml:space="preserve">Our customers and partners may delay payment or fail to pay us in accordance with the terms of their agreements, necessitating action by us to compel payment. </w:t>
      </w:r>
      <w:r>
        <w:rPr>
          <w:rFonts w:ascii="Arial" w:cs="Arial" w:eastAsia="Arial" w:hAnsi="Arial"/>
          <w:sz w:val="16"/>
          <w:szCs w:val="16"/>
          <w:color w:val="auto"/>
        </w:rPr>
        <w:t>If customers and partners delay the payment or fail to pay us under the terms of our agreements, we may be adversely affected both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inability to collect amounts due and the cost of enforcing the terms of our contracts, including litigation. Furthermore, some of our customers and partners may seek bankruptcy protection or other similar relief and fail to pay amounts due to us, or pay those amounts more slowly, either of which could adversely affect our operating results, financial position and cash flow. The ongoing global COVID-19 pandemic has also increased the likelihood of these risks.</w:t>
      </w:r>
    </w:p>
    <w:p>
      <w:pPr>
        <w:spacing w:after="0" w:line="188" w:lineRule="exact"/>
        <w:rPr>
          <w:sz w:val="20"/>
          <w:szCs w:val="20"/>
          <w:color w:val="auto"/>
        </w:rPr>
      </w:pPr>
    </w:p>
    <w:p>
      <w:pPr>
        <w:ind w:right="500"/>
        <w:spacing w:after="0" w:line="301" w:lineRule="auto"/>
        <w:rPr>
          <w:sz w:val="20"/>
          <w:szCs w:val="20"/>
          <w:color w:val="auto"/>
        </w:rPr>
      </w:pPr>
      <w:r>
        <w:rPr>
          <w:rFonts w:ascii="Arial" w:cs="Arial" w:eastAsia="Arial" w:hAnsi="Arial"/>
          <w:sz w:val="16"/>
          <w:szCs w:val="16"/>
          <w:b w:val="1"/>
          <w:bCs w:val="1"/>
          <w:i w:val="1"/>
          <w:iCs w:val="1"/>
          <w:color w:val="auto"/>
        </w:rPr>
        <w:t xml:space="preserve">We rely on the experience and expertise of our skilled employees, and must continue to attract and retain qualified technical, marketing and managerial personnel in order to succeed. </w:t>
      </w:r>
      <w:r>
        <w:rPr>
          <w:rFonts w:ascii="Arial" w:cs="Arial" w:eastAsia="Arial" w:hAnsi="Arial"/>
          <w:sz w:val="16"/>
          <w:szCs w:val="16"/>
          <w:color w:val="auto"/>
        </w:rPr>
        <w:t>Our future success will depend in large part upon our ability to attract and retain highly skilled technical,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managerial, sales and marketing personnel. There is significant competition for such personnel in the software industry. We may not continue to be successful in attracting and retaining the personnel we require to develop new and enhanced products and to continue to grow and operate profitably.</w:t>
      </w:r>
    </w:p>
    <w:p>
      <w:pPr>
        <w:spacing w:after="0" w:line="18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i w:val="1"/>
          <w:iCs w:val="1"/>
          <w:color w:val="auto"/>
        </w:rPr>
        <w:t xml:space="preserve">Our periodic workforce restructurings can be disruptive. </w:t>
      </w:r>
      <w:r>
        <w:rPr>
          <w:rFonts w:ascii="Arial" w:cs="Arial" w:eastAsia="Arial" w:hAnsi="Arial"/>
          <w:sz w:val="16"/>
          <w:szCs w:val="16"/>
          <w:color w:val="auto"/>
        </w:rPr>
        <w:t>We have in the past restructured or made other adjustments to our workforce in response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changes, product changes, performance issues, changes in strategy, acquisitions and other internal and external considerations. In the past, these restructurings have resulted in increased restructuring costs and have temporarily reduced productivity. These effects could recur in connection with any future restructurings or we may not achieve or sustain the expected growth or cost savings benefits of any such restructurings, or do so within the expected timeframe. As a result, our revenues and other results of operations could be negatively affected.</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If our products contain software defects or security flaws, it could harm our revenues and expose us to litigation. </w:t>
      </w:r>
      <w:r>
        <w:rPr>
          <w:rFonts w:ascii="Arial" w:cs="Arial" w:eastAsia="Arial" w:hAnsi="Arial"/>
          <w:sz w:val="18"/>
          <w:szCs w:val="18"/>
          <w:color w:val="auto"/>
        </w:rPr>
        <w:t>Our products, despite extensive testing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quality control, may contain defects or security flaws, especially when we first introduce them or when new versions are released. We may need to issue corrective releases of our software products to fix any defects or errors. The detection and correction of any security flaws can be time consuming and costly. Errors in our software products could affect the ability of our products to work with other hardware or software products, delay the development or release of new products or new versions of products, adversely affect market acceptance of our products and expose us to potential litigation. If we experience errors or delays in releasing new products or new versions of products, such errors or delays could have a material adverse effect on our revenue.</w:t>
      </w:r>
    </w:p>
    <w:p>
      <w:pPr>
        <w:spacing w:after="0" w:line="22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If our security measures are breached, our products and services may be perceived as not being secure, customers may curtail or stop using our products and services, and we may incur significant legal and financial exposure. </w:t>
      </w:r>
      <w:r>
        <w:rPr>
          <w:rFonts w:ascii="Arial" w:cs="Arial" w:eastAsia="Arial" w:hAnsi="Arial"/>
          <w:sz w:val="17"/>
          <w:szCs w:val="17"/>
          <w:color w:val="auto"/>
        </w:rPr>
        <w:t>Our products and services involve the storage and transmission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proprietary information and may be vulnerable to unauthorized access, computer viruses, cyber-attacks, distributed denial of service attacks and other disruptive problems Due to the actions of outside parties, employee error, malfeasance, or otherwise, an unauthorized party may obtain access to our data or our customers’ data, which could result in its theft, destruction or misappropriation. Security risks in recent years have increased significantly given the increased sophistication and activities of hackers, organized crime, including state-sponsored organizations and nation-states, and other outside parties. Cyber threats are continuously evolving, increasing the difficulty of defending against them. While we have implemented security procedures and controls to address these threats, our security measures could be compromised or could fail. Any security breach or unauthorized access could result in significant legal and financial exposure, increased costs to defend litigation, indemnity and other contractual obligations, government fines and penalties, damage to our reputation and our brand, and a loss of confidence in the security of our products and services that could potentially have an adverse effect on our business and results of operations.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4" w:name="page15"/>
    <w:bookmarkEnd w:id="14"/>
    <w:p>
      <w:pPr>
        <w:ind w:right="60"/>
        <w:spacing w:after="0" w:line="296" w:lineRule="auto"/>
        <w:rPr>
          <w:sz w:val="20"/>
          <w:szCs w:val="20"/>
          <w:color w:val="auto"/>
        </w:rPr>
      </w:pPr>
      <w:r>
        <w:rPr>
          <w:rFonts w:ascii="Arial" w:cs="Arial" w:eastAsia="Arial" w:hAnsi="Arial"/>
          <w:sz w:val="16"/>
          <w:szCs w:val="16"/>
          <w:color w:val="auto"/>
        </w:rPr>
        <w:t>Breaches of our network could disrupt our internal systems and business applications, including services provided to our customers. Additionally, data breaches could compromise technical and proprietary information, harming our competitive position. We may need to spend significant capital or allocate significant resources to ensure effective ongoing protection against the threat of security breaches or to address security related concerns. If an actual or perceived breach of our security occurs, the market perception of the effectiveness of our security measures could be harmed and we could lose customers. In addition, our insurance coverage may not be adequate to cover all costs related to cybersecurity incidents and the disruptions resulting from such events.</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i w:val="1"/>
          <w:iCs w:val="1"/>
          <w:color w:val="auto"/>
        </w:rPr>
        <w:t xml:space="preserve">Catastrophic events may disrupt our business. </w:t>
      </w:r>
      <w:r>
        <w:rPr>
          <w:rFonts w:ascii="Arial" w:cs="Arial" w:eastAsia="Arial" w:hAnsi="Arial"/>
          <w:sz w:val="16"/>
          <w:szCs w:val="16"/>
          <w:color w:val="auto"/>
        </w:rPr>
        <w:t>We rely on our network infrastructure and enterprise applications, internal technology systems and website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our development, marketing, operations, support and sales activities. In addition, we rely on third-party hosted services, and we do not control the operation of third-party data center facilities, which increases our vulnerability. A disruption, infiltration or failure of these systems or third-party hosted services in the event of a major earthquake, fire, flood, tsunami or other weather event, power loss, telecommunications failure, software or hardware malfunctions, pandemics (including the COVID-19 pandemic), cyber-attack, war, terrorist attack or other catastrophic event that our disaster recovery plans do not adequately address, could cause system interruptions, reputational harm, loss of intellectual property, delays in our product development, lengthy interruptions in our services, breaches of data security and loss of critical data. A catastrophic event that results in the destruction or disruption of any of our data centers or our critical business or information technology systems could severely affect our ability to conduct normal business operations and, as a result, our future operating results could be adversely affected, and the adverse effects of any such catastrophic event would be exacerbated if experienced at the same time as another unexpected and adverse event, such as the COVID-19 pandemic.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We are subject to risks associated with compliance with laws and regulations globally, which may harm our business. </w:t>
      </w:r>
      <w:r>
        <w:rPr>
          <w:rFonts w:ascii="Arial" w:cs="Arial" w:eastAsia="Arial" w:hAnsi="Arial"/>
          <w:sz w:val="15"/>
          <w:szCs w:val="15"/>
          <w:color w:val="auto"/>
        </w:rPr>
        <w:t>We are a global company subject</w:t>
      </w:r>
    </w:p>
    <w:p>
      <w:pPr>
        <w:spacing w:after="0" w:line="5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to varied and complex laws, regulations and customs, both domestically and internationally. These laws and regulations relate to a number of aspects of our business, including trade protection, import and export control, data and transaction processing security, payment card industry data security standards, records management, user-generated content hosted on websites we operate, privacy practices, data residency, corporate governance, anti-trust and competition, employee and third-party complaints, anti-corruption, gift policies, conflicts of interest, securities regulations and other regulatory requirements affecting trade and investment. The application of these laws and regulations to our business is often unclear and may at times conflict. For example, in many foreign countries, particularly in those with developing economies, it is common to engage in business practices that are prohibited by U.S. regulations applicable to us, including the Foreign Corrupt Practices Act. We cannot provide assurance that our employees, contractors, agents and business partners will not take actions in violation of our internal policies or U.S. laws. Compliance with these laws and regulations may involve significant costs or require changes in our business practices that result in reduced revenue and profitability. Non-compliance could also result in fines, damages, criminal sanctions against us, our officers or our employees, prohibitions on the conduct of our business, and damage to our reputation. In response to the COVID-19 pandemic, federal, state, local and foreign governmental authorities have imposed, and may continue to impose, protocols and restrictions intended to contain the spread of the virus, including limitations on the size of gatherings, closures of work facilities, schools, public buildings and businesses, quarantines, lockdowns and travel restrictions. Such restrictions have disrupted and may continue to disrupt our business operations and limit our ability to perform critical functions.</w:t>
      </w:r>
    </w:p>
    <w:p>
      <w:pPr>
        <w:spacing w:after="0" w:line="200"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i w:val="1"/>
          <w:iCs w:val="1"/>
          <w:color w:val="auto"/>
        </w:rPr>
        <w:t xml:space="preserve">Our business practices with respect to the collection, use and management of personal information could give rise to operational interruption, liabilities or reputational harm as a result of governmental regulation, legal requirements or industry standards relating to consumer privacy and data protection. </w:t>
      </w:r>
      <w:r>
        <w:rPr>
          <w:rFonts w:ascii="Arial" w:cs="Arial" w:eastAsia="Arial" w:hAnsi="Arial"/>
          <w:sz w:val="16"/>
          <w:szCs w:val="16"/>
          <w:color w:val="auto"/>
        </w:rPr>
        <w:t>As regulatory focus on privacy issues continues to increase and worldwide laws and regulations concerning the handling of personal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expand and become more complex, potential risks related to data collection and use within our business will intensify. For example, on July 16, 2020, the Court of Justice of the European Union ("CJEU") invalidated the E.U.-U.S. Privacy Shield framework – a system for complying with EU data protection requirements when transferring personal data from the European Economic Area ("EEA") to the U.S. – with immediate effect. Other data transfer mechanisms remain intact although still subject to considerable scrutiny by certain member states and their Data Protection Authorities. While legislators are still said to be considering a replacement for the Privacy Shield, no action seems imminent. As a result, we may experience reluctance or refusal by current or prospective European customers to use our products, and we may find it necessary or desirable to make further changes to our handling of personal data of EEA residents. Also, on June 4, 2021, the European Commission approved new standard contractual clauses to permit transfers of personal data from the European Union to other countries, such as the United States. The new clauses align more closely with the General Data Protection Regulation (GDPR) of 2018 by, among other things, increasing documentation responsibilities.</w:t>
      </w:r>
    </w:p>
    <w:p>
      <w:pPr>
        <w:spacing w:after="0" w:line="20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regulatory environment applicable to the handling of EEA residents' personal data, which is governed by the GDPR, and our actions taken in response, may cause us to assume additional liabilities or incur additional costs, and could result in our business, operating results and financial condition being harmed. Additionally,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ind w:right="160"/>
        <w:spacing w:after="0" w:line="255" w:lineRule="auto"/>
        <w:rPr>
          <w:sz w:val="20"/>
          <w:szCs w:val="20"/>
          <w:color w:val="auto"/>
        </w:rPr>
      </w:pPr>
      <w:r>
        <w:rPr>
          <w:rFonts w:ascii="Arial" w:cs="Arial" w:eastAsia="Arial" w:hAnsi="Arial"/>
          <w:sz w:val="18"/>
          <w:szCs w:val="18"/>
          <w:color w:val="auto"/>
        </w:rPr>
        <w:t>In addition, U.S. and foreign governments have enacted or are considering enacting legislation or regulations, or may in the near future interpret existing legislation or regulations, in a manner that could significantly impact our ability and the ability of our customers and data partners to collect, augment, analyze, use, transfer and share personal and other information that is integral to certain services we provide. For example, in the U.S., the California Consumer Privacy Act ("CCPA") became effective in January 2020, and internationally, Brazil’s data privacy law (Lei Geral de Proteção de Dados Pessoais, or LGPD), which is similar to GDPR, became effective in September 2020. The U.S. Congress is considering several privacy bills at the federal level, and other state legislatures are considering privacy laws.</w:t>
      </w:r>
    </w:p>
    <w:p>
      <w:pPr>
        <w:spacing w:after="0" w:line="21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GDPR and other changes in laws or regulations associated with the enhanced protection of certain types of sensitive data, such as healthcare data or other personal information, could greatly increase our cost of providing our products and services or even prevent us from offering certain services in jurisdictions that we operate. .Regulators globally are also imposing greater monetary fines for privacy violations. For example, non-compliance with the GDPR may result in monetary penalties of up to 4% of worldwide revenue.</w:t>
      </w:r>
    </w:p>
    <w:p>
      <w:pPr>
        <w:spacing w:after="0" w:line="21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Additionally, public perception and standards related to the privacy of personal information can shift rapidly, in ways that may affect our reputation or influence regulators to enact regulations and laws that may limit our ability to provide certain products. Any failure, or perceived failure, by us to comply with U.S. federal, state, or foreign laws and regulations, including laws and regulations regulating privacy, data security, or consumer protection, or other policies, public perception, standards, self-regulatory requirements or legal obligations, could result in lost or restricted business, proceedings, actions or fines brought against us or levied by governmental entities or others, or could adversely affect our business and harm our reputation.</w:t>
      </w:r>
    </w:p>
    <w:p>
      <w:pPr>
        <w:spacing w:after="0" w:line="188" w:lineRule="exact"/>
        <w:rPr>
          <w:sz w:val="20"/>
          <w:szCs w:val="20"/>
          <w:color w:val="auto"/>
        </w:rPr>
      </w:pPr>
    </w:p>
    <w:p>
      <w:pPr>
        <w:ind w:right="420"/>
        <w:spacing w:after="0" w:line="310" w:lineRule="auto"/>
        <w:rPr>
          <w:sz w:val="20"/>
          <w:szCs w:val="20"/>
          <w:color w:val="auto"/>
        </w:rPr>
      </w:pPr>
      <w:r>
        <w:rPr>
          <w:rFonts w:ascii="Arial" w:cs="Arial" w:eastAsia="Arial" w:hAnsi="Arial"/>
          <w:sz w:val="15"/>
          <w:szCs w:val="15"/>
          <w:b w:val="1"/>
          <w:bCs w:val="1"/>
          <w:i w:val="1"/>
          <w:iCs w:val="1"/>
          <w:color w:val="auto"/>
        </w:rPr>
        <w:t xml:space="preserve">We could incur substantial cost in protecting our proprietary software technology or if we fail to protect our technology, which would harm our business. </w:t>
      </w:r>
      <w:r>
        <w:rPr>
          <w:rFonts w:ascii="Arial" w:cs="Arial" w:eastAsia="Arial" w:hAnsi="Arial"/>
          <w:sz w:val="15"/>
          <w:szCs w:val="15"/>
          <w:color w:val="auto"/>
        </w:rPr>
        <w:t>We rely principally on a combination of contract provisions and copyright, trademark, patent and trade secret laws to protect our proprietary</w:t>
      </w:r>
    </w:p>
    <w:p>
      <w:pPr>
        <w:spacing w:after="0" w:line="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technology. Despite our efforts to protect our proprietary rights, unauthorized parties may attempt to copy aspects of our products or to obtain and use information that we regard as proprietary. Policing unauthorized use of our products is difficult. Litigation may be necessary in the future to enforce our intellectual property rights, to protect our trade secrets or to determine the validity and scope of the proprietary rights of others. This litigation could result in substantial costs and diversion of resources, whether or not we ultimately prevail on the merits. The steps we take to protect our proprietary rights may be inadequate to prevent misappropriation of our technology; moreover, others could independently develop similar technology.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 of our Chef software assets may be limited by open source development and licensing practices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Chef offerings incorporate software</w:t>
      </w:r>
    </w:p>
    <w:p>
      <w:pPr>
        <w:spacing w:after="0" w:line="50" w:lineRule="exact"/>
        <w:rPr>
          <w:sz w:val="20"/>
          <w:szCs w:val="20"/>
          <w:color w:val="auto"/>
        </w:rPr>
      </w:pPr>
    </w:p>
    <w:p>
      <w:pPr>
        <w:jc w:val="both"/>
        <w:ind w:right="120"/>
        <w:spacing w:after="0" w:line="261" w:lineRule="auto"/>
        <w:rPr>
          <w:sz w:val="20"/>
          <w:szCs w:val="20"/>
          <w:color w:val="auto"/>
        </w:rPr>
      </w:pPr>
      <w:r>
        <w:rPr>
          <w:rFonts w:ascii="Arial" w:cs="Arial" w:eastAsia="Arial" w:hAnsi="Arial"/>
          <w:sz w:val="17"/>
          <w:szCs w:val="17"/>
          <w:color w:val="auto"/>
        </w:rPr>
        <w:t>components licensed to the general public under open source licenses. We obtain many components from software developed and released by contributors to independent open source components of our offerings. Open source licenses grant licensees broad permissions to use, copy, modify and redistribute our platform. As a result, open source development and licensing practices can limit the value of our software copyright assets.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We could be subject to claims that we infringe intellectual property rights of others, which could harm our business, financial condition, results of operations or cash flows. </w:t>
      </w:r>
      <w:r>
        <w:rPr>
          <w:rFonts w:ascii="Arial" w:cs="Arial" w:eastAsia="Arial" w:hAnsi="Arial"/>
          <w:sz w:val="18"/>
          <w:szCs w:val="18"/>
          <w:color w:val="auto"/>
        </w:rPr>
        <w:t>Third parties could assert infringement claims in the future with respect to our products and technology, and such claims might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successful. Litigation relating to any such claims could result in substantial costs and diversion of resources, whether or not we ultimately prevail on the merits. Any such litigation could also result in our being prohibited from selling one or more of our products, unanticipated royalty payments, reluctance by potential customers to purchase our products, or liability to our customers and could have a material adverse effect on our business, financial condition, operating results and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accounting principles and guidance, or their interpretation or implementation, may materially adversely affect our reported results of</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operations or financial position. </w:t>
      </w:r>
      <w:r>
        <w:rPr>
          <w:rFonts w:ascii="Arial" w:cs="Arial" w:eastAsia="Arial" w:hAnsi="Arial"/>
          <w:sz w:val="18"/>
          <w:szCs w:val="18"/>
          <w:color w:val="auto"/>
        </w:rPr>
        <w:t>We prepare our consolidated financial statements in accordance with accounting principles generally accepted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of America (“GAAP”) These principles are subject to interpretation by the SEC and various bodies formed to create and interpret appropriate accounting principles and guidance. A change in these principles or guidance, or in their interpretations, may have a significant effect on our reported results, as well as our processes and related controls.</w:t>
      </w:r>
    </w:p>
    <w:p>
      <w:pPr>
        <w:spacing w:after="0" w:line="210"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b w:val="1"/>
          <w:bCs w:val="1"/>
          <w:i w:val="1"/>
          <w:iCs w:val="1"/>
          <w:color w:val="auto"/>
        </w:rPr>
        <w:t>We may have exposure to additional tax liabilities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multinational corporation, we are subject to income taxes in the U.S. and various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Significant judgment is required in determining our global provision for income taxes and other tax liabilities. In the ordinary course of a global business, there are many intercompany transactions and calculations where the ultimate tax determination is uncertain. Our income tax returns are routinely subject to audits by tax authorities. Although we regularly assess the likelihood of adverse outcomes resulting from these examinations to determine our tax estimates, a final determination of tax audits that is inconsistent with such assessments or tax disputes could have an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6" w:name="page17"/>
    <w:bookmarkEnd w:id="16"/>
    <w:p>
      <w:pPr>
        <w:ind w:right="100"/>
        <w:spacing w:after="0" w:line="286" w:lineRule="auto"/>
        <w:rPr>
          <w:sz w:val="20"/>
          <w:szCs w:val="20"/>
          <w:color w:val="auto"/>
        </w:rPr>
      </w:pPr>
      <w:r>
        <w:rPr>
          <w:rFonts w:ascii="Arial" w:cs="Arial" w:eastAsia="Arial" w:hAnsi="Arial"/>
          <w:sz w:val="17"/>
          <w:szCs w:val="17"/>
          <w:color w:val="auto"/>
        </w:rPr>
        <w:t>We are also subject to non-income taxes, such as payroll, sales, use, value-added, net worth, property and goods and services taxes in the U.S. and various foreign jurisdictions. We are regularly under audit by tax authorities with respect to these non-income taxes and may have exposure to additional non-income tax liabilities, which could have an adverse effect on our results of operations, financial condition and cash flows.</w:t>
      </w:r>
    </w:p>
    <w:p>
      <w:pPr>
        <w:spacing w:after="0" w:line="19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addition, our future effective tax rates could be favorably or unfavorably affected by changes in tax rates, changes in the valuation of our deferred tax assets or liabilities, or changes in tax laws or their interpretation. Such changes could have a material adverse impact on our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Contracting with government entities exposes us to additional risks inherent in the government procurement process. </w:t>
      </w:r>
      <w:r>
        <w:rPr>
          <w:rFonts w:ascii="Arial" w:cs="Arial" w:eastAsia="Arial" w:hAnsi="Arial"/>
          <w:sz w:val="15"/>
          <w:szCs w:val="15"/>
          <w:color w:val="auto"/>
        </w:rPr>
        <w:t>We provide products and services,</w:t>
      </w:r>
    </w:p>
    <w:p>
      <w:pPr>
        <w:spacing w:after="0" w:line="58"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directly and indirectly, to a variety of government entities, both domestically and internationally. Risks associated with licensing and selling products and services to government entities include more extended sales and collection cycles, varying governmental budgeting processes and adherence to complex procurement regulations and other government-specific contractual requirements. We may be subject to audits and investigations relating to our government contracts and any violations could result in various civil and criminal penalties and administrative sanctions, including termination of contracts, payment of fines, and suspension or debarment from future government business, as well as harm to our reputation and financial results.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Financial Performance or General Economic Conditions</w:t>
      </w:r>
    </w:p>
    <w:p>
      <w:pPr>
        <w:spacing w:after="0" w:line="25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 xml:space="preserve">Weakness in the U.S. and international economies may result in fewer sales of our products and may otherwise harm our business. </w:t>
      </w:r>
      <w:r>
        <w:rPr>
          <w:rFonts w:ascii="Arial" w:cs="Arial" w:eastAsia="Arial" w:hAnsi="Arial"/>
          <w:sz w:val="16"/>
          <w:szCs w:val="16"/>
          <w:color w:val="auto"/>
        </w:rPr>
        <w:t>We are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risks arising from adverse changes in global economic conditions, especially those in the U.S., Europe and Latin America. If global economic conditions weaken, credit markets tighten and/or financial markets become unstable, customers may delay, reduce or forego technology purchases, both directly and through our ISVs, resellers/distributors and OEMs. This could result in reductions in sales of our products, longer sales cycles, slower adoption of new technologies and increased price competition. Further, deteriorating economic conditions could adversely affect our customers and their ability to pay amounts owed to us. Any of these events would likely harm our business, results of operations, financial condition or cash flows.</w:t>
      </w:r>
    </w:p>
    <w:p>
      <w:pPr>
        <w:spacing w:after="0" w:line="191"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b w:val="1"/>
          <w:bCs w:val="1"/>
          <w:i w:val="1"/>
          <w:iCs w:val="1"/>
          <w:color w:val="auto"/>
        </w:rPr>
        <w:t xml:space="preserve">Revenue forecasting is uncertain, and the failure to meet our forecasts could result in a decline in our stock price. </w:t>
      </w:r>
      <w:r>
        <w:rPr>
          <w:rFonts w:ascii="Arial" w:cs="Arial" w:eastAsia="Arial" w:hAnsi="Arial"/>
          <w:sz w:val="16"/>
          <w:szCs w:val="16"/>
          <w:color w:val="auto"/>
        </w:rPr>
        <w:t>Our revenues, particularly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software license revenues, are difficult to forecast. We use a pipeline system to forecast revenues and trends in our business. Our pipeline estimates may prove to be unreliable either in a particular quarter or over a longer period of time, in part because the conversion rate of the pipeline into contracts can be difficult to estimate and requires management judgment. A variation in the conversion rate could cause us to plan or budget incorrectly and result in a material adverse impact on our business or our planned results of operations. Furthermore, most of our expenses are relatively fixed, including costs of personnel and facilities. Thus, an unexpected reduction in our revenue, or failure to achieve the anticipated rate of growth, would have a material adverse effect on our profitability. If our operating results do not meet our publicly stated guidance or the expectations of investors, our stock price may decline.</w:t>
      </w:r>
    </w:p>
    <w:p>
      <w:pPr>
        <w:spacing w:after="0" w:line="1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Our revenue and quarterly results may fluctuate, which could adversely affect our stock price. </w:t>
      </w:r>
      <w:r>
        <w:rPr>
          <w:rFonts w:ascii="Arial" w:cs="Arial" w:eastAsia="Arial" w:hAnsi="Arial"/>
          <w:sz w:val="18"/>
          <w:szCs w:val="18"/>
          <w:color w:val="auto"/>
        </w:rPr>
        <w:t>We have experienced, and may in the future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fluctuations in our quarterly operating results that may be caused by many factors. These factors include:</w:t>
      </w:r>
    </w:p>
    <w:p>
      <w:pPr>
        <w:spacing w:after="0" w:line="19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demand for our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enhancement or announcement of products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our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growth rates of certain market segments in which we compete;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size and timing of significant orders;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high percentage of our revenue is generated in the third month of each fiscal quarter and any failure to receive, complete or process orders at the end of any quarter could cause us to fall short of our revenue targets;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budgeting cycles of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mix of distribution channels;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mix of products and services sold;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mix of international and North American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level of operating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restructuring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or announcement of acquisitions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integration of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order deferrals in anticipation of new products announced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conditions in regions in which we conduct business; and</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7" w:name="page18"/>
    <w:bookmarkEnd w:id="17"/>
    <w:p>
      <w:pPr>
        <w:ind w:left="660" w:right="5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such as political or social unrest, terrorist attacks, other hostilities, natural disasters, and potential public health crises, such as COVID-19.</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Our common stock price may continue to be volatile, which could result in losses for investors. </w:t>
      </w:r>
      <w:r>
        <w:rPr>
          <w:rFonts w:ascii="Arial" w:cs="Arial" w:eastAsia="Arial" w:hAnsi="Arial"/>
          <w:sz w:val="18"/>
          <w:szCs w:val="18"/>
          <w:color w:val="auto"/>
        </w:rPr>
        <w:t>The market price of our common stock, like that of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companies, is volatile and is subject to wide fluctuations in response to quarterly variations in operating results, announcements of technological innovations or new products by us or our competitors, changes in financial estimates by securities analysts or other events or factors. Our stock price may also be affected by broader market trends unrelated to our performance. As a result, purchasers of our common stock may be unable at any given time to sell their shares at or above the price they paid for them.</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Indebtedness and Convertible Senior Notes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indebtedness and liabilities could limit the cash flow available for our operations, expose us to risks that could adversely affect our business,</w:t>
      </w:r>
    </w:p>
    <w:p>
      <w:pPr>
        <w:spacing w:after="0" w:line="46" w:lineRule="exact"/>
        <w:rPr>
          <w:sz w:val="20"/>
          <w:szCs w:val="20"/>
          <w:color w:val="auto"/>
        </w:rPr>
      </w:pPr>
    </w:p>
    <w:p>
      <w:pPr>
        <w:jc w:val="both"/>
        <w:ind w:right="100"/>
        <w:spacing w:after="0" w:line="230" w:lineRule="auto"/>
        <w:rPr>
          <w:sz w:val="20"/>
          <w:szCs w:val="20"/>
          <w:color w:val="auto"/>
        </w:rPr>
      </w:pPr>
      <w:r>
        <w:rPr>
          <w:rFonts w:ascii="Arial" w:cs="Arial" w:eastAsia="Arial" w:hAnsi="Arial"/>
          <w:sz w:val="18"/>
          <w:szCs w:val="18"/>
          <w:b w:val="1"/>
          <w:bCs w:val="1"/>
          <w:i w:val="1"/>
          <w:iCs w:val="1"/>
          <w:color w:val="auto"/>
        </w:rPr>
        <w:t xml:space="preserve">financial condition and results of operations. </w:t>
      </w:r>
      <w:r>
        <w:rPr>
          <w:rFonts w:ascii="Arial" w:cs="Arial" w:eastAsia="Arial" w:hAnsi="Arial"/>
          <w:sz w:val="18"/>
          <w:szCs w:val="18"/>
          <w:color w:val="auto"/>
        </w:rPr>
        <w:t>As of November 30, 2021, we had approximately $560 million of consolidated indebtedness. We may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 additional indebtedness to meet future financing needs. Our indebtedness could have significant negative consequences for our security holders and our business, results of operations and financial condition by, among other things:</w:t>
      </w:r>
    </w:p>
    <w:p>
      <w:pPr>
        <w:spacing w:after="0" w:line="1"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5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diluting the interests of our existing stockholders as a result of issuing shares of our common stock upon conversion of the Notes;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23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ability to make scheduled payments of the principal of, to pay interest on or to refinance our current or future indebtedness, including the Notes, depends on our future performance, which is subject to economic, financial, competitive and other factors beyond our control. Our business may not generate sufficient funds, and we may otherwise be unable to maintain sufficient cash reserves, to pay amounts due under our current or future indebtedness, including the Notes, and our cash needs may increase in the future. In addition, our credit facility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8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b w:val="1"/>
          <w:bCs w:val="1"/>
          <w:i w:val="1"/>
          <w:iCs w:val="1"/>
          <w:color w:val="auto"/>
        </w:rPr>
        <w:t xml:space="preserve">We are required to comply with certain financial and operating covenants under our credit facility and to make scheduled debt payments as they become due; any failure to comply with those covenants or to make scheduled payments could cause amounts borrowed under the facility to become immediately due and payable or prevent us from borrowing under the facility. </w:t>
      </w:r>
      <w:r>
        <w:rPr>
          <w:rFonts w:ascii="Arial" w:cs="Arial" w:eastAsia="Arial" w:hAnsi="Arial"/>
          <w:sz w:val="17"/>
          <w:szCs w:val="17"/>
          <w:color w:val="auto"/>
        </w:rPr>
        <w:t>In January 2022, we entered into an amended and restated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which provides for a $275.0 million term loan and a $300.0 million revolving loan (which may be increased by an additional $260.0 million if the existing or additional lenders are willing to make such increased commitments). This facility matures in January 2027, at which time any amounts outstanding will be due and payable in full. We may wish to borrow additional amounts under the facility in the future to support our operations, including for strategic acquisitions and share repurchases.</w:t>
      </w:r>
    </w:p>
    <w:p>
      <w:pPr>
        <w:spacing w:after="0" w:line="2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required to comply with specified financial and operating covenants and to make scheduled repayments of our term loan, which may limit our ability to operate our business as we otherwise might operate it. Our failure to comply with any of these covenants or to meet any payment obligations under the facility could result in an event of default which, if not cured or waived, would result in any amounts outstanding, including any accrued interest and unpaid fees, becoming immediately due and payable. We might not have sufficient working capital or liquidity to satisfy any repayment obligations in the event of an acceleration of those obligations. In addition, if we are not in compliance with the financial and operating covenants at the time we wish to borrow funds, we will be unable to borrow funds.</w:t>
      </w:r>
    </w:p>
    <w:p>
      <w:pPr>
        <w:spacing w:after="0" w:line="246"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i w:val="1"/>
          <w:iCs w:val="1"/>
          <w:color w:val="auto"/>
        </w:rPr>
        <w:t xml:space="preserve">The capped call transactions may affect the value of our common stock. </w:t>
      </w:r>
      <w:r>
        <w:rPr>
          <w:rFonts w:ascii="Arial" w:cs="Arial" w:eastAsia="Arial" w:hAnsi="Arial"/>
          <w:sz w:val="18"/>
          <w:szCs w:val="18"/>
          <w:color w:val="auto"/>
        </w:rPr>
        <w:t>In connection with the issuance of the Notes, we entered into capped call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with certain financial institutions (“option counterparties”). The capped call transactions are generally expected to reduce the potential dilution to our common stock upon any conversion of the Notes and/or offset any cash payments we are required to make in excess of the principal amount of converted Notes, as the case may be, with such reduction and/or offset subject to a cap. From time to time, the option counterparties that are parties to the capped call transactions or their respective affiliates may modify their hedge positions by entering into or unwinding various derivative transactions with respect to our common stock and/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18" w:name="page19"/>
    <w:bookmarkEnd w:id="18"/>
    <w:p>
      <w:pPr>
        <w:ind w:right="440"/>
        <w:spacing w:after="0" w:line="246" w:lineRule="auto"/>
        <w:rPr>
          <w:sz w:val="20"/>
          <w:szCs w:val="20"/>
          <w:color w:val="auto"/>
        </w:rPr>
      </w:pPr>
      <w:r>
        <w:rPr>
          <w:rFonts w:ascii="Arial" w:cs="Arial" w:eastAsia="Arial" w:hAnsi="Arial"/>
          <w:sz w:val="18"/>
          <w:szCs w:val="18"/>
          <w:color w:val="auto"/>
        </w:rPr>
        <w:t>or purchasing or selling our common stock or other securities of ours in secondary market transactions prior to the maturity of the Notes. This activity could cause a decrease in the market price of our common stock.</w:t>
      </w:r>
    </w:p>
    <w:p>
      <w:pPr>
        <w:spacing w:after="0" w:line="20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b w:val="1"/>
          <w:bCs w:val="1"/>
          <w:i w:val="1"/>
          <w:iCs w:val="1"/>
          <w:color w:val="auto"/>
        </w:rPr>
        <w:t>The conditional conversion feature of the Notes, if triggered, may adversely affect our financial condition and operating results</w:t>
      </w:r>
      <w:r>
        <w:rPr>
          <w:rFonts w:ascii="Arial" w:cs="Arial" w:eastAsia="Arial" w:hAnsi="Arial"/>
          <w:sz w:val="19"/>
          <w:szCs w:val="19"/>
          <w:b w:val="1"/>
          <w:bCs w:val="1"/>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Noteholders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 us to repurchase their Notes following a fundamental change at a cash repurchase price generally equal to the principal amount of the Notes to be repurchased, plus accrued and unpaid interest, if any. In addition all conversions of Notes will be settled partially or entirely in cash.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 governing the terms of the Notes. A default under the indenture or the fundamental change itself could also lead to a default under agreements governing our other indebtedness, which may result in that other indebtedness becoming immediately payable in full. If the repayment of such other indebtedness were to be accelerated after any applicable notice or grace periods, then we may not have sufficient funds to repay that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indebtedness and repurchase the Notes or make cash payments upon their conversion</w:t>
      </w:r>
      <w:r>
        <w:rPr>
          <w:rFonts w:ascii="Arial" w:cs="Arial" w:eastAsia="Arial" w:hAnsi="Arial"/>
          <w:sz w:val="21"/>
          <w:szCs w:val="21"/>
          <w:color w:val="auto"/>
        </w:rPr>
        <w:t>.</w:t>
      </w:r>
    </w:p>
    <w:p>
      <w:pPr>
        <w:spacing w:after="0" w:line="20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We are subject to counterparty risk with respect to the capped call transactions, and the capped call may not operate as planned. </w:t>
      </w:r>
      <w:r>
        <w:rPr>
          <w:rFonts w:ascii="Arial" w:cs="Arial" w:eastAsia="Arial" w:hAnsi="Arial"/>
          <w:sz w:val="18"/>
          <w:szCs w:val="18"/>
          <w:color w:val="auto"/>
        </w:rPr>
        <w:t>The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counterparties are financial institutions, and we are subject to the risk that any or all of them might default under the capped call transactions. Our exposure to the credit risk of the option counterparties will not be secured by any collateral. Global economic conditions have from time to time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subject to the cap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24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i w:val="1"/>
          <w:iCs w:val="1"/>
          <w:color w:val="auto"/>
        </w:rPr>
        <w:t xml:space="preserve">Provisions in the indenture could delay or prevent an otherwise beneficial takeover of us. </w:t>
      </w:r>
      <w:r>
        <w:rPr>
          <w:rFonts w:ascii="Arial" w:cs="Arial" w:eastAsia="Arial" w:hAnsi="Arial"/>
          <w:sz w:val="18"/>
          <w:szCs w:val="18"/>
          <w:color w:val="auto"/>
        </w:rPr>
        <w:t>Certain provisions in the Notes and the indenture could make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In either case, and in other cases, our obligations under the Notes and the indenture could increase the cost of acquiring us or otherwise discourage a third party from acquiring us or removing incumbent management, including in a transaction that Noteholders or holders of our common stock may view as favorable.</w:t>
      </w:r>
    </w:p>
    <w:p>
      <w:pPr>
        <w:spacing w:after="0" w:line="243"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b w:val="1"/>
          <w:bCs w:val="1"/>
          <w:i w:val="1"/>
          <w:iCs w:val="1"/>
          <w:color w:val="auto"/>
        </w:rPr>
        <w:t xml:space="preserve">Conversion of the Notes may dilute the ownership interest of existing stockholders. </w:t>
      </w:r>
      <w:r>
        <w:rPr>
          <w:rFonts w:ascii="Arial" w:cs="Arial" w:eastAsia="Arial" w:hAnsi="Arial"/>
          <w:sz w:val="17"/>
          <w:szCs w:val="17"/>
          <w:color w:val="auto"/>
        </w:rPr>
        <w:t>The conversion of some or all of the Notes will dilute the ownership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of existing stockholders to the extent we deliver shares of our common stock upon conversion of any of the Notes. Any sales in the public market of the common stock issuable upon such conversion could adversely affect prevailing market prices of our common stock. In addition,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the date of this report, we do not have any open comments from the Securities and Exchange Commission (SEC) related to our financial statements or periodic filings with the SEC.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own our headquarters facility, which includes administrative, sales, support, marketing, product development and distribution functions, in one building totaling approximately 165,000 square feet in Bedford, Massachusetts.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maintain offices for administrative, sales, support, marketing, product development and/or distribution purposes in leased facilities in various other locations in North America, including Burlington, Massachusetts, Morrisville, North Carolina, and Alpharetta, Georgia and outside North America, including Sofia, Bulgaria, Limerick, Ireland, Brno, Czech Republic, Bangalore and Hyderabad, India, and Rotterdam, the Netherlands. The terms of our leases generally range from one to fifteen years.</w:t>
      </w:r>
    </w:p>
    <w:p>
      <w:pPr>
        <w:spacing w:after="0" w:line="21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Beginning in March 2020, our employees across all geographic regions shifted to working from home due to the COVID-19 pandemic. In early 2021, we reopened our offices in locations where it was permissible to do so, but most of our employees continued to work from home. Our focus remains on promoting employee health and safety, so we are not requiring employees to return to the office at this time. At the end of fiscal year 2021, we adopted an approach to work that gives our employees more flexibility to choose where to work. Depending on their role, this means that employees can choose their office location, as well as continue to work from home some or all the time. As of November 30, 2021, we have not terminated any significant lease arrangements. We believe our facilities are adequate for the conduct of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are subject to various legal proceedings and claims, either asserted or unasserted, which arise in the ordinary course of business. While the outcome of these claims cannot be predicted with certainty, management does not believe that the outcome of any of these legal matters will have a material effect on our consolidated financial position,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1980"/>
        <w:spacing w:after="0" w:line="53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and Stockholders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trades on the NASDAQ Global Select Market under the symbol PRGS.</w:t>
      </w:r>
    </w:p>
    <w:p>
      <w:pPr>
        <w:spacing w:after="0" w:line="22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As of December 31, 2021, our common stock was held by approximately 133 stockholders of record. Because many of our shares of common stock are held by brokers and other institutions on behalf of stockholders, we are unable to estimate the total number of stockholders represented by these record holders.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Stock Repurchases and Dividends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260" w:type="dxa"/>
            <w:vAlign w:val="bottom"/>
            <w:gridSpan w:val="9"/>
          </w:tcPr>
          <w:p>
            <w:pPr>
              <w:spacing w:after="0"/>
              <w:rPr>
                <w:sz w:val="20"/>
                <w:szCs w:val="20"/>
                <w:color w:val="auto"/>
              </w:rPr>
            </w:pPr>
            <w:r>
              <w:rPr>
                <w:rFonts w:ascii="Arial" w:cs="Arial" w:eastAsia="Arial" w:hAnsi="Arial"/>
                <w:sz w:val="18"/>
                <w:szCs w:val="18"/>
                <w:color w:val="auto"/>
              </w:rPr>
              <w:t>Repurchases of our common stock by month in the fourth quarter of fiscal year 2021 were as follows:</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89"/>
              </w:rPr>
              <w:t>Total Number of Shares</w:t>
            </w:r>
          </w:p>
        </w:tc>
        <w:tc>
          <w:tcPr>
            <w:tcW w:w="198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4"/>
              </w:rPr>
              <w:t>Approximate Dollar Value</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Number of</w:t>
            </w:r>
          </w:p>
        </w:tc>
        <w:tc>
          <w:tcPr>
            <w:tcW w:w="120" w:type="dxa"/>
            <w:vAlign w:val="bottom"/>
          </w:tcPr>
          <w:p>
            <w:pPr>
              <w:spacing w:after="0"/>
              <w:rPr>
                <w:sz w:val="15"/>
                <w:szCs w:val="15"/>
                <w:color w:val="auto"/>
              </w:rPr>
            </w:pPr>
          </w:p>
        </w:tc>
        <w:tc>
          <w:tcPr>
            <w:tcW w:w="1580" w:type="dxa"/>
            <w:vAlign w:val="bottom"/>
            <w:gridSpan w:val="2"/>
            <w:vMerge w:val="restart"/>
          </w:tcPr>
          <w:p>
            <w:pPr>
              <w:spacing w:after="0"/>
              <w:rPr>
                <w:sz w:val="20"/>
                <w:szCs w:val="20"/>
                <w:color w:val="auto"/>
              </w:rPr>
            </w:pPr>
            <w:r>
              <w:rPr>
                <w:rFonts w:ascii="Arial" w:cs="Arial" w:eastAsia="Arial" w:hAnsi="Arial"/>
                <w:sz w:val="18"/>
                <w:szCs w:val="18"/>
                <w:color w:val="auto"/>
              </w:rPr>
              <w:t>Average Price Paid</w:t>
            </w:r>
          </w:p>
        </w:tc>
        <w:tc>
          <w:tcPr>
            <w:tcW w:w="20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6"/>
              </w:rPr>
              <w:t>Purchased as Part of</w:t>
            </w:r>
          </w:p>
        </w:tc>
        <w:tc>
          <w:tcPr>
            <w:tcW w:w="1980" w:type="dxa"/>
            <w:vAlign w:val="bottom"/>
            <w:gridSpan w:val="2"/>
          </w:tcPr>
          <w:p>
            <w:pPr>
              <w:ind w:left="60"/>
              <w:spacing w:after="0" w:line="176" w:lineRule="exact"/>
              <w:rPr>
                <w:sz w:val="20"/>
                <w:szCs w:val="20"/>
                <w:color w:val="auto"/>
              </w:rPr>
            </w:pPr>
            <w:r>
              <w:rPr>
                <w:rFonts w:ascii="Arial" w:cs="Arial" w:eastAsia="Arial" w:hAnsi="Arial"/>
                <w:sz w:val="18"/>
                <w:szCs w:val="18"/>
                <w:color w:val="auto"/>
                <w:w w:val="91"/>
              </w:rPr>
              <w:t>of Shares that May Yet be</w:t>
            </w:r>
          </w:p>
        </w:tc>
        <w:tc>
          <w:tcPr>
            <w:tcW w:w="0" w:type="dxa"/>
            <w:vAlign w:val="bottom"/>
          </w:tcPr>
          <w:p>
            <w:pPr>
              <w:spacing w:after="0"/>
              <w:rPr>
                <w:sz w:val="1"/>
                <w:szCs w:val="1"/>
                <w:color w:val="auto"/>
              </w:rPr>
            </w:pPr>
          </w:p>
        </w:tc>
      </w:tr>
      <w:tr>
        <w:trPr>
          <w:trHeight w:val="175"/>
        </w:trPr>
        <w:tc>
          <w:tcPr>
            <w:tcW w:w="3780" w:type="dxa"/>
            <w:vAlign w:val="bottom"/>
            <w:gridSpan w:val="2"/>
            <w:vMerge w:val="restart"/>
          </w:tcPr>
          <w:p>
            <w:pPr>
              <w:ind w:left="1600"/>
              <w:spacing w:after="0"/>
              <w:rPr>
                <w:sz w:val="20"/>
                <w:szCs w:val="20"/>
                <w:color w:val="auto"/>
              </w:rPr>
            </w:pPr>
            <w:r>
              <w:rPr>
                <w:rFonts w:ascii="Arial" w:cs="Arial" w:eastAsia="Arial" w:hAnsi="Arial"/>
                <w:sz w:val="18"/>
                <w:szCs w:val="18"/>
                <w:color w:val="auto"/>
              </w:rPr>
              <w:t>Period</w:t>
            </w:r>
          </w:p>
        </w:tc>
        <w:tc>
          <w:tcPr>
            <w:tcW w:w="1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08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2"/>
              </w:rPr>
              <w:t>Publicly Announced Plans</w:t>
            </w:r>
          </w:p>
        </w:tc>
        <w:tc>
          <w:tcPr>
            <w:tcW w:w="19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88"/>
              </w:rPr>
              <w:t>Purchased Under the Plans</w:t>
            </w:r>
          </w:p>
        </w:tc>
        <w:tc>
          <w:tcPr>
            <w:tcW w:w="0" w:type="dxa"/>
            <w:vAlign w:val="bottom"/>
          </w:tcPr>
          <w:p>
            <w:pPr>
              <w:spacing w:after="0"/>
              <w:rPr>
                <w:sz w:val="1"/>
                <w:szCs w:val="1"/>
                <w:color w:val="auto"/>
              </w:rPr>
            </w:pPr>
          </w:p>
        </w:tc>
      </w:tr>
      <w:tr>
        <w:trPr>
          <w:trHeight w:val="230"/>
        </w:trPr>
        <w:tc>
          <w:tcPr>
            <w:tcW w:w="3780" w:type="dxa"/>
            <w:vAlign w:val="bottom"/>
            <w:gridSpan w:val="2"/>
            <w:vMerge w:val="continue"/>
          </w:tcPr>
          <w:p>
            <w:pPr>
              <w:spacing w:after="0"/>
              <w:rPr>
                <w:sz w:val="19"/>
                <w:szCs w:val="19"/>
                <w:color w:val="auto"/>
              </w:rPr>
            </w:pPr>
          </w:p>
        </w:tc>
        <w:tc>
          <w:tcPr>
            <w:tcW w:w="1700" w:type="dxa"/>
            <w:vAlign w:val="bottom"/>
            <w:gridSpan w:val="2"/>
          </w:tcPr>
          <w:p>
            <w:pPr>
              <w:ind w:left="180"/>
              <w:spacing w:after="0"/>
              <w:rPr>
                <w:sz w:val="20"/>
                <w:szCs w:val="20"/>
                <w:color w:val="auto"/>
              </w:rPr>
            </w:pPr>
            <w:r>
              <w:rPr>
                <w:rFonts w:ascii="Arial" w:cs="Arial" w:eastAsia="Arial" w:hAnsi="Arial"/>
                <w:sz w:val="18"/>
                <w:szCs w:val="18"/>
                <w:color w:val="auto"/>
              </w:rPr>
              <w:t>Shares Purchased</w:t>
            </w:r>
          </w:p>
        </w:tc>
        <w:tc>
          <w:tcPr>
            <w:tcW w:w="120" w:type="dxa"/>
            <w:vAlign w:val="bottom"/>
          </w:tcPr>
          <w:p>
            <w:pPr>
              <w:spacing w:after="0"/>
              <w:rPr>
                <w:sz w:val="19"/>
                <w:szCs w:val="19"/>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rPr>
              <w:t>per Share</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or Programs</w:t>
            </w:r>
          </w:p>
        </w:tc>
        <w:tc>
          <w:tcPr>
            <w:tcW w:w="340" w:type="dxa"/>
            <w:vAlign w:val="bottom"/>
          </w:tcPr>
          <w:p>
            <w:pPr>
              <w:spacing w:after="0"/>
              <w:rPr>
                <w:sz w:val="19"/>
                <w:szCs w:val="19"/>
                <w:color w:val="auto"/>
              </w:rPr>
            </w:pPr>
          </w:p>
        </w:tc>
        <w:tc>
          <w:tcPr>
            <w:tcW w:w="1640" w:type="dxa"/>
            <w:vAlign w:val="bottom"/>
          </w:tcPr>
          <w:p>
            <w:pPr>
              <w:jc w:val="right"/>
              <w:ind w:right="450"/>
              <w:spacing w:after="0"/>
              <w:rPr>
                <w:sz w:val="20"/>
                <w:szCs w:val="20"/>
                <w:color w:val="auto"/>
              </w:rPr>
            </w:pPr>
            <w:r>
              <w:rPr>
                <w:rFonts w:ascii="Arial" w:cs="Arial" w:eastAsia="Arial" w:hAnsi="Arial"/>
                <w:sz w:val="18"/>
                <w:szCs w:val="18"/>
                <w:color w:val="auto"/>
              </w:rPr>
              <w:t>or Programs</w:t>
            </w:r>
          </w:p>
        </w:tc>
        <w:tc>
          <w:tcPr>
            <w:tcW w:w="0" w:type="dxa"/>
            <w:vAlign w:val="bottom"/>
          </w:tcPr>
          <w:p>
            <w:pPr>
              <w:spacing w:after="0"/>
              <w:rPr>
                <w:sz w:val="1"/>
                <w:szCs w:val="1"/>
                <w:color w:val="auto"/>
              </w:rPr>
            </w:pPr>
          </w:p>
        </w:tc>
      </w:tr>
      <w:tr>
        <w:trPr>
          <w:trHeight w:val="223"/>
        </w:trPr>
        <w:tc>
          <w:tcPr>
            <w:tcW w:w="3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2021</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October 2021</w:t>
            </w:r>
          </w:p>
        </w:tc>
        <w:tc>
          <w:tcPr>
            <w:tcW w:w="17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08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2021</w:t>
            </w: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tcPr>
          <w:p>
            <w:pPr>
              <w:ind w:left="1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timing and amount of any shares repurchased will be determined by management based on its evaluation of market conditions and other factors, and the Board of Directors may choose to suspend, expand or discontinue the repurchase program at any time. In January 2020, our Board of Directors increased the total share repurchase authorization to $250.0 million. As of November 30, 2021, there was $155.0 million remaining under this share repurchase authorization.</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0" w:name="page21"/>
    <w:bookmarkEnd w:id="20"/>
    <w:p>
      <w:pPr>
        <w:ind w:right="120"/>
        <w:spacing w:after="0" w:line="266" w:lineRule="auto"/>
        <w:rPr>
          <w:sz w:val="20"/>
          <w:szCs w:val="20"/>
          <w:color w:val="auto"/>
        </w:rPr>
      </w:pPr>
      <w:r>
        <w:rPr>
          <w:rFonts w:ascii="Arial" w:cs="Arial" w:eastAsia="Arial" w:hAnsi="Arial"/>
          <w:sz w:val="16"/>
          <w:szCs w:val="16"/>
          <w:color w:val="auto"/>
        </w:rPr>
        <w:t>We have declared aggregate per share quarterly cash dividends totaling $0.700, $0.670 and $0.630 for the years ended November 30, 2021, November 30, 2020 and November 30, 2019, respectively. We paid aggregate cash dividends totaling $31.6 million, $29.9 million and $27.8 million for the years ended November 30, 2021, November 30, 2020 and November 30, 2019, respectively. Our Board of Directors may choose to suspend, decrease, or discontinue utilizing dividends as part of our capital allocation strategy at any time, particularly, if doing so, may advance our accretive M&amp;A strategy.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 and Cumulative Total Return</w:t>
      </w:r>
    </w:p>
    <w:p>
      <w:pPr>
        <w:spacing w:after="0" w:line="2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return on the NASDAQ Composite Index and the NASDAQ Computer Index for each of the last five fiscal years ended November 30, 2021, assuming an investment of $100 at the beginning of such period and the reinvestment of any dividends.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Among Progress Software Corporation, the NASDAQ Composite Index and 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128270</wp:posOffset>
            </wp:positionV>
            <wp:extent cx="5837555" cy="34118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755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$100 invested on November 30, 2016 in stock or index, including reinvestment of dividends.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November 30,</w:t>
            </w: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Progress Software Corporation</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163.85</w:t>
            </w: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NASDAQ Composite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291.86</w:t>
            </w:r>
          </w:p>
        </w:tc>
      </w:tr>
      <w:tr>
        <w:trPr>
          <w:trHeight w:val="23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NASDAQ Computer</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414.65</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Progress Software Corporation. MD&amp;A is provided as a supplement to, and should be read in conjunction with, our consolidated financial statements and the accompanying Notes to Financial Statements (Part II, Item 8 of this Form 10-K). This section generally discusses the results of our operations for the year ended November 30, 2021 compared to the year ended November 30, 2020. For a discussion of the year ended November 30, 2020 compared to the year ended November 30, 2019, please refer to Part II, Item 7, “Management’s Discussion and Analysis of Financial Condition and Results of Operations” in our Annual Report on Form 10-K for the year ended November 30, 2020, as amended.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Certain statements below about anticipated results and our products and markets are forward-looking statements that are based on our current plans and assumptions. Important information about the bases for these plans and assumptions and factors that may cause our actual results to differ materially from these statements is contained below and in Part I, Item 1A. “Risk Factors”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Constant Currency</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Revenue from our international operations has historically represented a substantial portion of our total revenue. As a result, our revenue results have been impacted, and we expect will continue to be impacted, by fluctuations in foreign currency exchange rates. For example, if the local currencies of our foreign subsidiaries strengthen, our consolidated results stated in U.S. dollars are positively impacted.</w:t>
      </w:r>
    </w:p>
    <w:p>
      <w:pPr>
        <w:spacing w:after="0" w:line="21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 exchange rates are an important factor in understanding period to period comparisons, we believe the presentation of revenue growth rates on a constant currency basis enhances the understanding of our revenue results and evaluation of our performance in comparison to prior periods. The constant currency information presented is calculated by translating current period results using prior period weighted average foreign currency exchange rates. These results should be considered in addition to, not as a substitute for, results reported in accordance with GAAP.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March 2020, the World Health Organization declared the outbreak of COVID-19 as a pandemic, which continues to impact the U.S. and the world. We are unable to accurately predict the full impact that COVID-19 will have due to numerous uncertainties, including the duration of the outbreak, actions that may be taken by governmental authorities, the impact to the business of our customers and partners and other factors identified in Part I, Item 1A “Risk Factors” in this Form 10-K. We will continue to evaluate the nature and extent of the impact to our business, consolidated results of operations, and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Progress Software Corporation ("Progress," the "Company," "we," "us," or "our") provides the best products to develop, deploy and manage high-impact applications. Our comprehensive product solutions are designed to make technology teams more productive and we have a deep commitment to the developer community, both open source and commercial alike. Beginning in the second quarter of fiscal year 2021, we operate as one operating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key tenets of our strategic plan and operating model are as follows: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Trusted Provider of the Best Products to Develop, Deploy and Manage High Impact Applications</w:t>
      </w:r>
      <w:r>
        <w:rPr>
          <w:rFonts w:ascii="Arial" w:cs="Arial" w:eastAsia="Arial" w:hAnsi="Arial"/>
          <w:sz w:val="18"/>
          <w:szCs w:val="18"/>
          <w:color w:val="auto"/>
        </w:rPr>
        <w:t>. A key element of our strategy is centered on</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the platform and tools enterprises need to build, deploy, and manage modern, strategic business applications. We offer these products and tools to both new customers and partners as well as our existing partner and customer ecosystems. This strategy builds on our vast experience in application development that we've acquired over the past 40 years.</w:t>
      </w:r>
    </w:p>
    <w:p>
      <w:pPr>
        <w:spacing w:after="0" w:line="207"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Focus on Customer and Partner Retention to Drive Recurring Revenue and Profitability</w:t>
      </w:r>
      <w:r>
        <w:rPr>
          <w:rFonts w:ascii="Arial" w:cs="Arial" w:eastAsia="Arial" w:hAnsi="Arial"/>
          <w:sz w:val="18"/>
          <w:szCs w:val="18"/>
          <w:color w:val="auto"/>
        </w:rPr>
        <w:t>. Our organizational philosophy and operating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focus primarily on customer and partner retention and success and a streamlined operating approach in order to more efficiently drive, predictable and stable recurring revenue and high levels of profitability.</w:t>
      </w:r>
    </w:p>
    <w:p>
      <w:pPr>
        <w:spacing w:after="0" w:line="203"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color w:val="auto"/>
        </w:rPr>
        <w:t xml:space="preserve">Total Growth Strategy Driven by Accretive M&amp;A. </w:t>
      </w:r>
      <w:r>
        <w:rPr>
          <w:rFonts w:ascii="Arial" w:cs="Arial" w:eastAsia="Arial" w:hAnsi="Arial"/>
          <w:sz w:val="18"/>
          <w:szCs w:val="18"/>
          <w:color w:val="auto"/>
        </w:rPr>
        <w:t>We are pursuing a total growth strategy driven by accretive acquisitions of businesses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infrastructure space, with products that appeal to both IT organizations and individual developers. These acquisitions must meet strict financial and other criteria, with the goal of driving significant stockholder returns by providing scale and increased cash flows. In April 2019, we acquired Ipswitch, Inc. and in October 2020, we acquired Chef Software. These</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22" w:name="page23"/>
    <w:bookmarkEnd w:id="22"/>
    <w:p>
      <w:pPr>
        <w:ind w:right="80"/>
        <w:spacing w:after="0" w:line="261" w:lineRule="auto"/>
        <w:rPr>
          <w:sz w:val="20"/>
          <w:szCs w:val="20"/>
          <w:color w:val="auto"/>
        </w:rPr>
      </w:pPr>
      <w:r>
        <w:rPr>
          <w:rFonts w:ascii="Arial" w:cs="Arial" w:eastAsia="Arial" w:hAnsi="Arial"/>
          <w:sz w:val="18"/>
          <w:szCs w:val="18"/>
          <w:color w:val="auto"/>
        </w:rPr>
        <w:t>acquisitions met our strict financial criteria. As described below, in November 2021, we acquired Kemp Technologies. This acquisition is expected to meet our strict financial criteria.</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Kemp is the always-on application experience company that helps enterprises deliver, optimize and secure applications and networks across any cloud or hybrid environment. The purchase price for Kemp was $258 million and we funded the purchase price with existing cash balances. With this acquisition, we extended our portfolio of market-leading products in DevOps, Application Development, Data Connectivity and Digital Experience, adding Application Experience Management (AX). Kemp Loadmaster and Flowmon Network Visibility products monitor application performance, and distribute and balance traffic and workloads across servers, in the cloud or on premise, ensuring high performance and availability.</w:t>
      </w:r>
    </w:p>
    <w:p>
      <w:pPr>
        <w:spacing w:after="0" w:line="186"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Multi-Faceted Capital Allocation Strategy</w:t>
      </w:r>
      <w:r>
        <w:rPr>
          <w:rFonts w:ascii="Arial" w:cs="Arial" w:eastAsia="Arial" w:hAnsi="Arial"/>
          <w:sz w:val="18"/>
          <w:szCs w:val="18"/>
          <w:color w:val="auto"/>
        </w:rPr>
        <w:t>. Our capital allocation policy emphasizes accretive M&amp;A, which allows us to expand our business and drive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stockholder returns, and utilizes dividends and share repurchases to return capital to stockholders. We intend to repurchase our shares in sufficient quantities to offset dilution from our equity plans. Lastly, we return a significant portion of our annual cash flows from operations to stockholders in the form of dividends.</w:t>
      </w:r>
    </w:p>
    <w:p>
      <w:pPr>
        <w:spacing w:after="0" w:line="2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fiscal year 2021, we repurchased and retired 0.8 million shares of our common stock for $35.0 million. As of November 30, 2021, there was $155.0 million remaining under share repurchase authorization. The timing and amount of any shares repurchased will be determined by management based on its evaluation of market conditions and other factors, and the Board of Directors may choose to suspend, expand or discontinue the repurchase program at any time.</w:t>
      </w:r>
    </w:p>
    <w:p>
      <w:pPr>
        <w:spacing w:after="0" w:line="20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began paying quarterly cash dividends of $0.125 per share of common stock to Progress stockholders in December 2016 and increased the quarterly cash dividend annually in fiscal years 2017, 2018 and 2019. On September 22, 2020, our Board of Directors approved an additional increase of 6% to our quarterly cash dividend from $0.165 to $0.175 and declared a quarterly dividend of $0.175 per share of common stock. Future declarations of dividends and the establishment of future record and payment dates are subject to the final determination of our Board of Directors.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will continue to pursue acquisitions meeting our financial criteria and designed to expand our business and drive significant stockholder returns. As a result, our expected uses of cash could change, our cash position could be reduced, and we may incur additional debt obligations to the extent we complete additional acquisitions. However, we believe that existing cash balances, together with funds generated from operations and amounts available under our credit facility, will be sufficient to finance our operations and meet our foreseeable cash requirements, including quarterly cash dividends and stock repurchases to Progress stockholders, as applicable, through at least the next twelve months.</w:t>
      </w: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also believe that our financial resources have allowed, and will continue to allow us to manage the impact of COVID-19 on our business operations for the foreseeable future. The challenges posed by COVID-19 on our business continue to evolve. Consequently, we will continue to evaluate our financial position in light of future developments, particularly those relating to COVID-19.</w:t>
      </w:r>
    </w:p>
    <w:p>
      <w:pPr>
        <w:spacing w:after="0" w:line="197"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We derive a significant portion of our revenue from international operations, which are primarily conducted in foreign currencies. As a result, changes in the value of these foreign currencies relative to the U.S. dollar have significantly impacted our results of operations and may impact our future results of operations. Since approximately one-third of our revenue is denominated in foreign currency, and given the volatility in the global economy created by COVID-19, our revenue results in fiscal year 2021 were impacted by fluctuations in foreign currency exchange rates.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600" w:type="dxa"/>
            <w:vAlign w:val="bottom"/>
          </w:tcPr>
          <w:p>
            <w:pPr>
              <w:spacing w:after="0"/>
              <w:rPr>
                <w:sz w:val="20"/>
                <w:szCs w:val="20"/>
                <w:color w:val="auto"/>
              </w:rPr>
            </w:pPr>
            <w:r>
              <w:rPr>
                <w:rFonts w:ascii="Arial" w:cs="Arial" w:eastAsia="Arial" w:hAnsi="Arial"/>
                <w:sz w:val="18"/>
                <w:szCs w:val="18"/>
                <w:b w:val="1"/>
                <w:bCs w:val="1"/>
                <w:color w:val="auto"/>
              </w:rPr>
              <w:t>Fiscal Year 2021 Compared to Fiscal Year 2020</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0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40" w:type="dxa"/>
            <w:vAlign w:val="bottom"/>
            <w:gridSpan w:val="5"/>
          </w:tcPr>
          <w:p>
            <w:pPr>
              <w:ind w:left="580"/>
              <w:spacing w:after="0"/>
              <w:rPr>
                <w:sz w:val="20"/>
                <w:szCs w:val="20"/>
                <w:color w:val="auto"/>
              </w:rPr>
            </w:pPr>
            <w:r>
              <w:rPr>
                <w:rFonts w:ascii="Arial" w:cs="Arial" w:eastAsia="Arial" w:hAnsi="Arial"/>
                <w:sz w:val="18"/>
                <w:szCs w:val="18"/>
                <w:color w:val="auto"/>
              </w:rPr>
              <w:t>Fiscal Year Ended</w:t>
            </w:r>
          </w:p>
        </w:tc>
        <w:tc>
          <w:tcPr>
            <w:tcW w:w="2760" w:type="dxa"/>
            <w:vAlign w:val="bottom"/>
            <w:gridSpan w:val="3"/>
          </w:tcPr>
          <w:p>
            <w:pPr>
              <w:jc w:val="right"/>
              <w:ind w:right="610"/>
              <w:spacing w:after="0"/>
              <w:rPr>
                <w:sz w:val="20"/>
                <w:szCs w:val="20"/>
                <w:color w:val="auto"/>
              </w:rPr>
            </w:pPr>
            <w:r>
              <w:rPr>
                <w:rFonts w:ascii="Arial" w:cs="Arial" w:eastAsia="Arial" w:hAnsi="Arial"/>
                <w:sz w:val="18"/>
                <w:szCs w:val="18"/>
                <w:color w:val="auto"/>
              </w:rPr>
              <w:t>Percentage Change</w:t>
            </w: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260"/>
              <w:spacing w:after="0" w:line="169" w:lineRule="exact"/>
              <w:rPr>
                <w:sz w:val="20"/>
                <w:szCs w:val="20"/>
                <w:color w:val="auto"/>
              </w:rPr>
            </w:pPr>
            <w:r>
              <w:rPr>
                <w:rFonts w:ascii="Arial" w:cs="Arial" w:eastAsia="Arial" w:hAnsi="Arial"/>
                <w:sz w:val="18"/>
                <w:szCs w:val="18"/>
                <w:color w:val="auto"/>
                <w:w w:val="90"/>
              </w:rPr>
              <w:t>November 30,</w:t>
            </w: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color w:val="auto"/>
                <w:w w:val="90"/>
              </w:rPr>
              <w:t>November 30,</w:t>
            </w:r>
          </w:p>
        </w:tc>
        <w:tc>
          <w:tcPr>
            <w:tcW w:w="120" w:type="dxa"/>
            <w:vAlign w:val="bottom"/>
          </w:tcPr>
          <w:p>
            <w:pPr>
              <w:spacing w:after="0"/>
              <w:rPr>
                <w:sz w:val="14"/>
                <w:szCs w:val="14"/>
                <w:color w:val="auto"/>
              </w:rPr>
            </w:pPr>
          </w:p>
        </w:tc>
        <w:tc>
          <w:tcPr>
            <w:tcW w:w="144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As Reported</w:t>
            </w:r>
          </w:p>
        </w:tc>
        <w:tc>
          <w:tcPr>
            <w:tcW w:w="1320" w:type="dxa"/>
            <w:vAlign w:val="bottom"/>
            <w:tcBorders>
              <w:top w:val="single" w:sz="8" w:color="auto"/>
            </w:tcBorders>
          </w:tcPr>
          <w:p>
            <w:pPr>
              <w:ind w:left="340"/>
              <w:spacing w:after="0" w:line="169" w:lineRule="exact"/>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9"/>
                <w:szCs w:val="19"/>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442,150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The increase in revenue in fiscal year 2021 was driven by the acquisition of Chef which closed during the fourth quarter of fiscal year 2020, increased demand for our OpenEdge and Ipswitch product offerings and to a lesser extent, the acquisition of Kemp which contributed $5.9 million of revenue during the fourth quarter of fiscal year 2021. Changes in prices from fiscal year 2020 to 2021 did not have a significant impact on our revenue.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i w:val="1"/>
                <w:iCs w:val="1"/>
                <w:color w:val="auto"/>
              </w:rPr>
              <w:t>Software License Revenue</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color w:val="auto"/>
                <w:w w:val="91"/>
              </w:rPr>
              <w:t>Fiscal Year Ended</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7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Percentage Change</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8"/>
                <w:szCs w:val="18"/>
                <w:color w:val="auto"/>
                <w:w w:val="99"/>
              </w:rPr>
              <w:t>November 30, 2021</w:t>
            </w:r>
          </w:p>
        </w:tc>
        <w:tc>
          <w:tcPr>
            <w:tcW w:w="1580" w:type="dxa"/>
            <w:vAlign w:val="bottom"/>
            <w:gridSpan w:val="3"/>
            <w:vMerge w:val="restart"/>
          </w:tcPr>
          <w:p>
            <w:pPr>
              <w:ind w:left="20"/>
              <w:spacing w:after="0"/>
              <w:rPr>
                <w:sz w:val="20"/>
                <w:szCs w:val="20"/>
                <w:color w:val="auto"/>
              </w:rPr>
            </w:pPr>
            <w:r>
              <w:rPr>
                <w:rFonts w:ascii="Arial" w:cs="Arial" w:eastAsia="Arial" w:hAnsi="Arial"/>
                <w:sz w:val="18"/>
                <w:szCs w:val="18"/>
                <w:color w:val="auto"/>
                <w:w w:val="97"/>
              </w:rPr>
              <w:t>November 30, 2020</w:t>
            </w:r>
          </w:p>
        </w:tc>
        <w:tc>
          <w:tcPr>
            <w:tcW w:w="1420" w:type="dxa"/>
            <w:vAlign w:val="bottom"/>
            <w:gridSpan w:val="2"/>
            <w:vMerge w:val="restart"/>
          </w:tcPr>
          <w:p>
            <w:pPr>
              <w:ind w:left="200"/>
              <w:spacing w:after="0"/>
              <w:rPr>
                <w:sz w:val="20"/>
                <w:szCs w:val="20"/>
                <w:color w:val="auto"/>
              </w:rPr>
            </w:pPr>
            <w:r>
              <w:rPr>
                <w:rFonts w:ascii="Arial" w:cs="Arial" w:eastAsia="Arial" w:hAnsi="Arial"/>
                <w:sz w:val="18"/>
                <w:szCs w:val="18"/>
                <w:color w:val="auto"/>
              </w:rPr>
              <w:t>As Reported</w:t>
            </w:r>
          </w:p>
        </w:tc>
        <w:tc>
          <w:tcPr>
            <w:tcW w:w="1300" w:type="dxa"/>
            <w:vAlign w:val="bottom"/>
          </w:tcPr>
          <w:p>
            <w:pPr>
              <w:ind w:left="340"/>
              <w:spacing w:after="0" w:line="169" w:lineRule="exact"/>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vMerge w:val="continue"/>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300" w:type="dxa"/>
            <w:vAlign w:val="bottom"/>
          </w:tcPr>
          <w:p>
            <w:pPr>
              <w:ind w:left="32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156,590</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2"/>
              </w:rPr>
              <w:t>115,249</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29 %</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26 %</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Software license revenue increased in fiscal year 2021 primarily due to the acquisitions of Chef and Kemp, as well as increased demand for our OpenEdge, DataDirect, and Ipswitch product offerings.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i w:val="1"/>
                <w:iCs w:val="1"/>
                <w:color w:val="auto"/>
              </w:rPr>
              <w:t>Maintenance and Services Revenue</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780" w:type="dxa"/>
            <w:vAlign w:val="bottom"/>
            <w:gridSpan w:val="5"/>
          </w:tcPr>
          <w:p>
            <w:pPr>
              <w:ind w:left="480"/>
              <w:spacing w:after="0"/>
              <w:rPr>
                <w:sz w:val="20"/>
                <w:szCs w:val="20"/>
                <w:color w:val="auto"/>
              </w:rPr>
            </w:pPr>
            <w:r>
              <w:rPr>
                <w:rFonts w:ascii="Arial" w:cs="Arial" w:eastAsia="Arial" w:hAnsi="Arial"/>
                <w:sz w:val="18"/>
                <w:szCs w:val="18"/>
                <w:color w:val="auto"/>
              </w:rPr>
              <w:t>Fiscal Year Ended</w:t>
            </w:r>
          </w:p>
        </w:tc>
        <w:tc>
          <w:tcPr>
            <w:tcW w:w="2720" w:type="dxa"/>
            <w:vAlign w:val="bottom"/>
            <w:gridSpan w:val="3"/>
          </w:tcPr>
          <w:p>
            <w:pPr>
              <w:jc w:val="right"/>
              <w:ind w:right="590"/>
              <w:spacing w:after="0"/>
              <w:rPr>
                <w:sz w:val="20"/>
                <w:szCs w:val="20"/>
                <w:color w:val="auto"/>
              </w:rPr>
            </w:pPr>
            <w:r>
              <w:rPr>
                <w:rFonts w:ascii="Arial" w:cs="Arial" w:eastAsia="Arial" w:hAnsi="Arial"/>
                <w:sz w:val="18"/>
                <w:szCs w:val="18"/>
                <w:color w:val="auto"/>
              </w:rPr>
              <w:t>Percentage Change</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5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8"/>
                <w:szCs w:val="18"/>
                <w:color w:val="auto"/>
                <w:w w:val="97"/>
              </w:rPr>
              <w:t>November 30, 2021</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color w:val="auto"/>
                <w:w w:val="95"/>
              </w:rPr>
              <w:t>November 30,</w:t>
            </w:r>
          </w:p>
        </w:tc>
        <w:tc>
          <w:tcPr>
            <w:tcW w:w="120" w:type="dxa"/>
            <w:vAlign w:val="bottom"/>
          </w:tcPr>
          <w:p>
            <w:pPr>
              <w:spacing w:after="0"/>
              <w:rPr>
                <w:sz w:val="14"/>
                <w:szCs w:val="14"/>
                <w:color w:val="auto"/>
              </w:rPr>
            </w:pPr>
          </w:p>
        </w:tc>
        <w:tc>
          <w:tcPr>
            <w:tcW w:w="142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As Reported</w:t>
            </w:r>
          </w:p>
        </w:tc>
        <w:tc>
          <w:tcPr>
            <w:tcW w:w="1300" w:type="dxa"/>
            <w:vAlign w:val="bottom"/>
            <w:tcBorders>
              <w:top w:val="single" w:sz="8" w:color="auto"/>
            </w:tcBorders>
          </w:tcPr>
          <w:p>
            <w:pPr>
              <w:jc w:val="right"/>
              <w:ind w:right="230"/>
              <w:spacing w:after="0" w:line="169" w:lineRule="exact"/>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325,863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288,887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61 %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65 %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48,860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38,014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9 %</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maintenance and services revenue</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374,723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326,901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i w:val="1"/>
                <w:iCs w:val="1"/>
                <w:color w:val="auto"/>
              </w:rPr>
              <w:t>71 %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Arial" w:cs="Arial" w:eastAsia="Arial" w:hAnsi="Arial"/>
                <w:sz w:val="18"/>
                <w:szCs w:val="18"/>
                <w:i w:val="1"/>
                <w:iCs w:val="1"/>
                <w:color w:val="auto"/>
              </w:rPr>
              <w:t>74 %</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Maintenance revenue increased in fiscal year 2021 primarily due to the acquisitions of Chef and Kemp, as well as an increase in maintenance revenue from our Ipswitch and OpenEdge product offerings. Professional services revenue increased primarily due to the acquisition of Chef, as well as an increase in professional services revenue from our OpenEdge product offerings.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i w:val="1"/>
                <w:iCs w:val="1"/>
                <w:color w:val="auto"/>
              </w:rPr>
              <w:t>Revenue by Region</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60" w:type="dxa"/>
            <w:vAlign w:val="bottom"/>
            <w:gridSpan w:val="5"/>
          </w:tcPr>
          <w:p>
            <w:pPr>
              <w:ind w:left="700"/>
              <w:spacing w:after="0"/>
              <w:rPr>
                <w:sz w:val="20"/>
                <w:szCs w:val="20"/>
                <w:color w:val="auto"/>
              </w:rPr>
            </w:pPr>
            <w:r>
              <w:rPr>
                <w:rFonts w:ascii="Arial" w:cs="Arial" w:eastAsia="Arial" w:hAnsi="Arial"/>
                <w:sz w:val="18"/>
                <w:szCs w:val="18"/>
                <w:color w:val="auto"/>
              </w:rPr>
              <w:t>Fiscal Year Ended</w:t>
            </w:r>
          </w:p>
        </w:tc>
        <w:tc>
          <w:tcPr>
            <w:tcW w:w="2720" w:type="dxa"/>
            <w:vAlign w:val="bottom"/>
            <w:gridSpan w:val="3"/>
          </w:tcPr>
          <w:p>
            <w:pPr>
              <w:jc w:val="right"/>
              <w:ind w:right="590"/>
              <w:spacing w:after="0"/>
              <w:rPr>
                <w:sz w:val="20"/>
                <w:szCs w:val="20"/>
                <w:color w:val="auto"/>
              </w:rPr>
            </w:pPr>
            <w:r>
              <w:rPr>
                <w:rFonts w:ascii="Arial" w:cs="Arial" w:eastAsia="Arial" w:hAnsi="Arial"/>
                <w:sz w:val="18"/>
                <w:szCs w:val="18"/>
                <w:color w:val="auto"/>
              </w:rPr>
              <w:t>Percentage Change</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color w:val="auto"/>
                <w:w w:val="93"/>
              </w:rPr>
              <w:t>November 30,</w:t>
            </w:r>
          </w:p>
        </w:tc>
        <w:tc>
          <w:tcPr>
            <w:tcW w:w="120" w:type="dxa"/>
            <w:vAlign w:val="bottom"/>
          </w:tcPr>
          <w:p>
            <w:pPr>
              <w:spacing w:after="0"/>
              <w:rPr>
                <w:sz w:val="14"/>
                <w:szCs w:val="14"/>
                <w:color w:val="auto"/>
              </w:rPr>
            </w:pPr>
          </w:p>
        </w:tc>
        <w:tc>
          <w:tcPr>
            <w:tcW w:w="142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As Reported</w:t>
            </w:r>
          </w:p>
        </w:tc>
        <w:tc>
          <w:tcPr>
            <w:tcW w:w="1300" w:type="dxa"/>
            <w:vAlign w:val="bottom"/>
            <w:tcBorders>
              <w:top w:val="single" w:sz="8" w:color="auto"/>
            </w:tcBorders>
          </w:tcPr>
          <w:p>
            <w:pPr>
              <w:jc w:val="right"/>
              <w:ind w:right="230"/>
              <w:spacing w:after="0" w:line="169" w:lineRule="exact"/>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317,814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260,998</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60 %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59 %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169,335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143,754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32 %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33 %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14,574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27,128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22,824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5 %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5 %</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Total revenue generated in North America increased $56.8 million, and total revenue generated outside North America increased $32.3 million, in fiscal year 2021. The increases in North America and EMEA were primarily due to the acquisitions of Chef and Kemp and increases in license and maintenance revenues from our OpenEdge and Ipswitch product offerings. Revenue from Latin America increased due to an increase in OpenEdge license sales. Revenue from Asia Pacific increased slightly, which was primarily due to the acquisition of Chef.</w:t>
      </w:r>
    </w:p>
    <w:p>
      <w:pPr>
        <w:spacing w:after="0" w:line="19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Total revenue generated in markets outside North America represented 40% of total revenue in fiscal year 2021 compared to 41% of total revenue in the same period last year. If exchange rates had remained constant in fiscal year 2021 as compared to the exchange rates in effect in fiscal year 2020, total revenue generated in markets outside North America would have been 39% of total revenue.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i w:val="1"/>
                <w:iCs w:val="1"/>
                <w:color w:val="auto"/>
              </w:rPr>
              <w:t>Cost of Software Licenses</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46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w w:val="93"/>
              </w:rPr>
              <w:t>Fiscal Year Ended</w:t>
            </w: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9"/>
                <w:szCs w:val="19"/>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November 30, 2021</w:t>
            </w:r>
          </w:p>
        </w:tc>
        <w:tc>
          <w:tcPr>
            <w:tcW w:w="200" w:type="dxa"/>
            <w:vAlign w:val="bottom"/>
          </w:tcPr>
          <w:p>
            <w:pPr>
              <w:spacing w:after="0"/>
              <w:rPr>
                <w:sz w:val="19"/>
                <w:szCs w:val="19"/>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November 30, 2020</w:t>
            </w:r>
          </w:p>
        </w:tc>
        <w:tc>
          <w:tcPr>
            <w:tcW w:w="460" w:type="dxa"/>
            <w:vAlign w:val="bottom"/>
          </w:tcPr>
          <w:p>
            <w:pPr>
              <w:spacing w:after="0"/>
              <w:rPr>
                <w:sz w:val="19"/>
                <w:szCs w:val="19"/>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Change</w:t>
            </w:r>
          </w:p>
        </w:tc>
        <w:tc>
          <w:tcPr>
            <w:tcW w:w="700" w:type="dxa"/>
            <w:vAlign w:val="bottom"/>
          </w:tcPr>
          <w:p>
            <w:pPr>
              <w:spacing w:after="0"/>
              <w:rPr>
                <w:sz w:val="19"/>
                <w:szCs w:val="19"/>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software licenses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4,473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798</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software license revenue</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bl>
    <w:p>
      <w:pPr>
        <w:spacing w:after="0" w:line="323"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Cost of software licenses consists primarily of costs of royalties, electronic software distribution, duplication, and packaging. The increase in cost of software licenses was the result of higher payments of royalties to third parties as compared to the prior fiscal year. Cost of software licenses as a percentage of software license revenue varies from period to period depending upon the relative product mix.</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i w:val="1"/>
                <w:iCs w:val="1"/>
                <w:color w:val="auto"/>
              </w:rPr>
              <w:t>Cost of Maintenance and Services</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6"/>
        </w:trPr>
        <w:tc>
          <w:tcPr>
            <w:tcW w:w="50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Fiscal Year Ended</w:t>
            </w: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9"/>
                <w:szCs w:val="19"/>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November 30, 2021</w:t>
            </w:r>
          </w:p>
        </w:tc>
        <w:tc>
          <w:tcPr>
            <w:tcW w:w="160" w:type="dxa"/>
            <w:vAlign w:val="bottom"/>
          </w:tcPr>
          <w:p>
            <w:pPr>
              <w:spacing w:after="0"/>
              <w:rPr>
                <w:sz w:val="19"/>
                <w:szCs w:val="19"/>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November 30, 2020</w:t>
            </w:r>
          </w:p>
        </w:tc>
        <w:tc>
          <w:tcPr>
            <w:tcW w:w="340" w:type="dxa"/>
            <w:vAlign w:val="bottom"/>
          </w:tcPr>
          <w:p>
            <w:pPr>
              <w:spacing w:after="0"/>
              <w:rPr>
                <w:sz w:val="19"/>
                <w:szCs w:val="19"/>
                <w:color w:val="auto"/>
              </w:rPr>
            </w:pP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Change</w:t>
            </w:r>
          </w:p>
        </w:tc>
        <w:tc>
          <w:tcPr>
            <w:tcW w:w="620" w:type="dxa"/>
            <w:vAlign w:val="bottom"/>
          </w:tcPr>
          <w:p>
            <w:pPr>
              <w:spacing w:after="0"/>
              <w:rPr>
                <w:sz w:val="19"/>
                <w:szCs w:val="19"/>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maintenance and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58,242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49,744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6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maintenance and services revenue</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Components of cost of maintenance and services:</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Personnel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5020" w:type="dxa"/>
            <w:vAlign w:val="bottom"/>
          </w:tcPr>
          <w:p>
            <w:pPr>
              <w:ind w:left="240"/>
              <w:spacing w:after="0"/>
              <w:rPr>
                <w:sz w:val="20"/>
                <w:szCs w:val="20"/>
                <w:color w:val="auto"/>
              </w:rPr>
            </w:pPr>
            <w:r>
              <w:rPr>
                <w:rFonts w:ascii="Arial" w:cs="Arial" w:eastAsia="Arial" w:hAnsi="Arial"/>
                <w:sz w:val="18"/>
                <w:szCs w:val="18"/>
                <w:color w:val="auto"/>
              </w:rPr>
              <w:t>Contractors and Outside Services</w:t>
            </w:r>
          </w:p>
        </w:tc>
        <w:tc>
          <w:tcPr>
            <w:tcW w:w="16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13,087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11,317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1,770</w:t>
            </w:r>
          </w:p>
        </w:tc>
        <w:tc>
          <w:tcPr>
            <w:tcW w:w="6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Hosting and Other</w:t>
            </w: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5,140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24"/>
        </w:trPr>
        <w:tc>
          <w:tcPr>
            <w:tcW w:w="5020" w:type="dxa"/>
            <w:vAlign w:val="bottom"/>
          </w:tcPr>
          <w:p>
            <w:pPr>
              <w:ind w:left="20"/>
              <w:spacing w:after="0"/>
              <w:rPr>
                <w:sz w:val="20"/>
                <w:szCs w:val="20"/>
                <w:color w:val="auto"/>
              </w:rPr>
            </w:pPr>
            <w:r>
              <w:rPr>
                <w:rFonts w:ascii="Arial" w:cs="Arial" w:eastAsia="Arial" w:hAnsi="Arial"/>
                <w:sz w:val="18"/>
                <w:szCs w:val="18"/>
                <w:color w:val="auto"/>
              </w:rPr>
              <w:t>Total cost of maintenance and 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58,242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49,744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8,498</w:t>
            </w:r>
          </w:p>
        </w:tc>
        <w:tc>
          <w:tcPr>
            <w:tcW w:w="6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17 %</w:t>
            </w:r>
          </w:p>
        </w:tc>
      </w:tr>
    </w:tbl>
    <w:p>
      <w:pPr>
        <w:spacing w:after="0" w:line="30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Cost of maintenance and services consists primarily of costs of providing customer support, consulting, and education. Cost of maintenance and services increased primarily due to higher personnel, contractor, and hosting related costs resulting from the acquisitions of Chef and Kemp.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i w:val="1"/>
                <w:iCs w:val="1"/>
                <w:color w:val="auto"/>
              </w:rPr>
              <w:t>Amortization of Acquired Intangibles</w:t>
            </w: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6"/>
        </w:trPr>
        <w:tc>
          <w:tcPr>
            <w:tcW w:w="65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Fiscal Year Ended</w:t>
            </w:r>
          </w:p>
        </w:tc>
        <w:tc>
          <w:tcPr>
            <w:tcW w:w="1300" w:type="dxa"/>
            <w:vAlign w:val="bottom"/>
            <w:tcBorders>
              <w:bottom w:val="single" w:sz="8" w:color="auto"/>
            </w:tcBorders>
          </w:tcPr>
          <w:p>
            <w:pPr>
              <w:spacing w:after="0"/>
              <w:rPr>
                <w:sz w:val="22"/>
                <w:szCs w:val="22"/>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w w:val="93"/>
              </w:rPr>
              <w:t>November 30, 2021</w:t>
            </w:r>
          </w:p>
        </w:tc>
        <w:tc>
          <w:tcPr>
            <w:tcW w:w="120" w:type="dxa"/>
            <w:vAlign w:val="bottom"/>
          </w:tcPr>
          <w:p>
            <w:pPr>
              <w:spacing w:after="0"/>
              <w:rPr>
                <w:sz w:val="19"/>
                <w:szCs w:val="19"/>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color w:val="auto"/>
              </w:rPr>
              <w:t>November 30, 2020</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 Change</w:t>
            </w:r>
          </w:p>
        </w:tc>
      </w:tr>
      <w:tr>
        <w:trPr>
          <w:trHeight w:val="223"/>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intangibles</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14,936</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7,897</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3 %</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2 %</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2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Amortization of acquired intangibles included in costs of revenue primarily represents the amortization of the value assigned to technology-related intangible assets obtained in business combinations. The year over year increase was due to the addition of Chef and Kemp acquired intangibles.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i w:val="1"/>
                <w:iCs w:val="1"/>
                <w:color w:val="auto"/>
              </w:rPr>
              <w:t>Gross Profit</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6"/>
        </w:trPr>
        <w:tc>
          <w:tcPr>
            <w:tcW w:w="66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Fiscal Year Ended</w:t>
            </w:r>
          </w:p>
        </w:tc>
        <w:tc>
          <w:tcPr>
            <w:tcW w:w="1300" w:type="dxa"/>
            <w:vAlign w:val="bottom"/>
            <w:tcBorders>
              <w:bottom w:val="single" w:sz="8" w:color="auto"/>
            </w:tcBorders>
          </w:tcPr>
          <w:p>
            <w:pPr>
              <w:spacing w:after="0"/>
              <w:rPr>
                <w:sz w:val="22"/>
                <w:szCs w:val="22"/>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November 30, 2021</w:t>
            </w:r>
          </w:p>
        </w:tc>
        <w:tc>
          <w:tcPr>
            <w:tcW w:w="1680" w:type="dxa"/>
            <w:vAlign w:val="bottom"/>
            <w:gridSpan w:val="3"/>
          </w:tcPr>
          <w:p>
            <w:pPr>
              <w:ind w:left="60"/>
              <w:spacing w:after="0"/>
              <w:rPr>
                <w:sz w:val="20"/>
                <w:szCs w:val="20"/>
                <w:color w:val="auto"/>
              </w:rPr>
            </w:pPr>
            <w:r>
              <w:rPr>
                <w:rFonts w:ascii="Arial" w:cs="Arial" w:eastAsia="Arial" w:hAnsi="Arial"/>
                <w:sz w:val="18"/>
                <w:szCs w:val="18"/>
                <w:color w:val="auto"/>
              </w:rPr>
              <w:t>November 30, 2020</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 Change</w:t>
            </w: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452,864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380,036</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85 %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86 %</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2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gross profit increased primarily due to the increase in revenue, offset by the increase of costs of maintenance and services and the amortization of intangibles, each as described above.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i w:val="1"/>
                <w:iCs w:val="1"/>
                <w:color w:val="auto"/>
              </w:rPr>
              <w:t>Sales and Marketing</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4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color w:val="auto"/>
                <w:w w:val="88"/>
              </w:rPr>
              <w:t>Fiscal Year Ended</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9"/>
                <w:szCs w:val="19"/>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November 30, 2021</w:t>
            </w:r>
          </w:p>
        </w:tc>
        <w:tc>
          <w:tcPr>
            <w:tcW w:w="180" w:type="dxa"/>
            <w:vAlign w:val="bottom"/>
          </w:tcPr>
          <w:p>
            <w:pPr>
              <w:spacing w:after="0"/>
              <w:rPr>
                <w:sz w:val="19"/>
                <w:szCs w:val="19"/>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November 30, 2020</w:t>
            </w:r>
          </w:p>
        </w:tc>
        <w:tc>
          <w:tcPr>
            <w:tcW w:w="400" w:type="dxa"/>
            <w:vAlign w:val="bottom"/>
          </w:tcPr>
          <w:p>
            <w:pPr>
              <w:spacing w:after="0"/>
              <w:rPr>
                <w:sz w:val="19"/>
                <w:szCs w:val="19"/>
                <w:color w:val="auto"/>
              </w:rPr>
            </w:pP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Change</w:t>
            </w:r>
          </w:p>
        </w:tc>
        <w:tc>
          <w:tcPr>
            <w:tcW w:w="720" w:type="dxa"/>
            <w:vAlign w:val="bottom"/>
          </w:tcPr>
          <w:p>
            <w:pPr>
              <w:spacing w:after="0"/>
              <w:rPr>
                <w:sz w:val="19"/>
                <w:szCs w:val="19"/>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125,890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100,113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25,777</w:t>
            </w:r>
          </w:p>
        </w:tc>
        <w:tc>
          <w:tcPr>
            <w:tcW w:w="6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24 %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23 %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sales and marketing:</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Personnel related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107,335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85,167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22,168</w:t>
            </w:r>
          </w:p>
        </w:tc>
        <w:tc>
          <w:tcPr>
            <w:tcW w:w="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Contractors and outside services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Marketing programs and other</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15,476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12,824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w:t>
            </w:r>
          </w:p>
        </w:tc>
        <w:tc>
          <w:tcPr>
            <w:tcW w:w="6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sales and marketing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125,890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100,113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25,777</w:t>
            </w: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bl>
    <w:p>
      <w:pPr>
        <w:spacing w:after="0" w:line="323" w:lineRule="exact"/>
        <w:rPr>
          <w:sz w:val="20"/>
          <w:szCs w:val="20"/>
          <w:color w:val="auto"/>
        </w:rPr>
      </w:pPr>
    </w:p>
    <w:p>
      <w:pPr>
        <w:ind w:right="220"/>
        <w:spacing w:after="0" w:line="288" w:lineRule="auto"/>
        <w:rPr>
          <w:sz w:val="20"/>
          <w:szCs w:val="20"/>
          <w:color w:val="auto"/>
        </w:rPr>
      </w:pPr>
      <w:r>
        <w:rPr>
          <w:rFonts w:ascii="Arial" w:cs="Arial" w:eastAsia="Arial" w:hAnsi="Arial"/>
          <w:sz w:val="18"/>
          <w:szCs w:val="18"/>
          <w:color w:val="auto"/>
        </w:rPr>
        <w:t>Sales and marketing expenses increased in fiscal year 2021 primarily due to increased personnel related costs resulting from the acquisitions of Chef and Kemp, increased variable compensation due to company wide performance, and increased marketing programs</w:t>
      </w:r>
      <w:r>
        <w:rPr>
          <w:rFonts w:ascii="Arial" w:cs="Arial" w:eastAsia="Arial" w:hAnsi="Arial"/>
          <w:sz w:val="21"/>
          <w:szCs w:val="21"/>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i w:val="1"/>
                <w:iCs w:val="1"/>
                <w:color w:val="auto"/>
              </w:rPr>
              <w:t>Product Development</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46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w w:val="92"/>
              </w:rPr>
              <w:t>Fiscal Year Ended</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9"/>
                <w:szCs w:val="19"/>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November 30, 2021</w:t>
            </w:r>
          </w:p>
        </w:tc>
        <w:tc>
          <w:tcPr>
            <w:tcW w:w="18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color w:val="auto"/>
              </w:rPr>
              <w:t>November 30, 2020</w:t>
            </w:r>
          </w:p>
        </w:tc>
        <w:tc>
          <w:tcPr>
            <w:tcW w:w="360" w:type="dxa"/>
            <w:vAlign w:val="bottom"/>
          </w:tcPr>
          <w:p>
            <w:pPr>
              <w:spacing w:after="0"/>
              <w:rPr>
                <w:sz w:val="19"/>
                <w:szCs w:val="19"/>
                <w:color w:val="auto"/>
              </w:rPr>
            </w:pPr>
          </w:p>
        </w:tc>
        <w:tc>
          <w:tcPr>
            <w:tcW w:w="1500" w:type="dxa"/>
            <w:vAlign w:val="bottom"/>
            <w:gridSpan w:val="2"/>
          </w:tcPr>
          <w:p>
            <w:pPr>
              <w:ind w:left="640"/>
              <w:spacing w:after="0"/>
              <w:rPr>
                <w:sz w:val="20"/>
                <w:szCs w:val="20"/>
                <w:color w:val="auto"/>
              </w:rPr>
            </w:pPr>
            <w:r>
              <w:rPr>
                <w:rFonts w:ascii="Arial" w:cs="Arial" w:eastAsia="Arial" w:hAnsi="Arial"/>
                <w:sz w:val="18"/>
                <w:szCs w:val="18"/>
                <w:color w:val="auto"/>
              </w:rPr>
              <w:t>Change</w:t>
            </w:r>
          </w:p>
        </w:tc>
        <w:tc>
          <w:tcPr>
            <w:tcW w:w="700" w:type="dxa"/>
            <w:vAlign w:val="bottom"/>
          </w:tcPr>
          <w:p>
            <w:pPr>
              <w:spacing w:after="0"/>
              <w:rPr>
                <w:sz w:val="19"/>
                <w:szCs w:val="19"/>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103,338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88,599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14,739</w:t>
            </w:r>
          </w:p>
        </w:tc>
        <w:tc>
          <w:tcPr>
            <w:tcW w:w="7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i w:val="1"/>
                <w:iCs w:val="1"/>
                <w:color w:val="auto"/>
              </w:rPr>
              <w:t>20 %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product development costs: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Personnel related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98,747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85,624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13,123</w:t>
            </w: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Contractors and outside services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product development costs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7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74 %</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 developments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103,338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88,599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14,739</w:t>
            </w: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bl>
    <w:p>
      <w:pPr>
        <w:spacing w:after="0" w:line="310" w:lineRule="exact"/>
        <w:rPr>
          <w:sz w:val="20"/>
          <w:szCs w:val="20"/>
          <w:color w:val="auto"/>
        </w:rPr>
      </w:pPr>
    </w:p>
    <w:p>
      <w:pPr>
        <w:ind w:right="280"/>
        <w:spacing w:after="0" w:line="288" w:lineRule="auto"/>
        <w:rPr>
          <w:sz w:val="20"/>
          <w:szCs w:val="20"/>
          <w:color w:val="auto"/>
        </w:rPr>
      </w:pPr>
      <w:r>
        <w:rPr>
          <w:rFonts w:ascii="Arial" w:cs="Arial" w:eastAsia="Arial" w:hAnsi="Arial"/>
          <w:sz w:val="18"/>
          <w:szCs w:val="18"/>
          <w:color w:val="auto"/>
        </w:rPr>
        <w:t>Product development expenses increased in fiscal year 2021 due to increased personnel related, contractors and outside services costs resulting from the acquisitions of Chef and Kemp</w:t>
      </w:r>
      <w:r>
        <w:rPr>
          <w:rFonts w:ascii="Arial" w:cs="Arial" w:eastAsia="Arial" w:hAnsi="Arial"/>
          <w:sz w:val="21"/>
          <w:szCs w:val="21"/>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i w:val="1"/>
                <w:iCs w:val="1"/>
                <w:color w:val="auto"/>
              </w:rPr>
              <w:t>General and Administrative</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46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color w:val="auto"/>
                <w:w w:val="88"/>
              </w:rPr>
              <w:t>Fiscal Year Ended</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9"/>
                <w:szCs w:val="19"/>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November 30, 2021</w:t>
            </w:r>
          </w:p>
        </w:tc>
        <w:tc>
          <w:tcPr>
            <w:tcW w:w="160" w:type="dxa"/>
            <w:vAlign w:val="bottom"/>
          </w:tcPr>
          <w:p>
            <w:pPr>
              <w:spacing w:after="0"/>
              <w:rPr>
                <w:sz w:val="19"/>
                <w:szCs w:val="19"/>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November 30, 2020</w:t>
            </w:r>
          </w:p>
        </w:tc>
        <w:tc>
          <w:tcPr>
            <w:tcW w:w="360" w:type="dxa"/>
            <w:vAlign w:val="bottom"/>
          </w:tcPr>
          <w:p>
            <w:pPr>
              <w:spacing w:after="0"/>
              <w:rPr>
                <w:sz w:val="19"/>
                <w:szCs w:val="19"/>
                <w:color w:val="auto"/>
              </w:rPr>
            </w:pPr>
          </w:p>
        </w:tc>
        <w:tc>
          <w:tcPr>
            <w:tcW w:w="1540" w:type="dxa"/>
            <w:vAlign w:val="bottom"/>
            <w:gridSpan w:val="2"/>
          </w:tcPr>
          <w:p>
            <w:pPr>
              <w:ind w:left="680"/>
              <w:spacing w:after="0"/>
              <w:rPr>
                <w:sz w:val="20"/>
                <w:szCs w:val="20"/>
                <w:color w:val="auto"/>
              </w:rPr>
            </w:pPr>
            <w:r>
              <w:rPr>
                <w:rFonts w:ascii="Arial" w:cs="Arial" w:eastAsia="Arial" w:hAnsi="Arial"/>
                <w:sz w:val="18"/>
                <w:szCs w:val="18"/>
                <w:color w:val="auto"/>
              </w:rPr>
              <w:t>Change</w:t>
            </w:r>
          </w:p>
        </w:tc>
        <w:tc>
          <w:tcPr>
            <w:tcW w:w="720" w:type="dxa"/>
            <w:vAlign w:val="bottom"/>
          </w:tcPr>
          <w:p>
            <w:pPr>
              <w:spacing w:after="0"/>
              <w:rPr>
                <w:sz w:val="19"/>
                <w:szCs w:val="19"/>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65,128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54,004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7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general and administrative:</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Personnel Related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51,601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43,025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8,576</w:t>
            </w: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Contractors and Outside Services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4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general and administrative costs</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7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60 %</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of general and administrative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bl>
    <w:p>
      <w:pPr>
        <w:spacing w:after="0" w:line="32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General and administrative expenses include the costs of our finance, human resources, legal, information systems and administrative departments. General and administrative expenses increased in fiscal year 2021 primarily due to higher personnel related costs associated with our acquisitions of Chef and Kemp, as well as increases in contractors and outside services and other general and administrative costs.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i w:val="1"/>
                <w:iCs w:val="1"/>
                <w:color w:val="auto"/>
              </w:rPr>
              <w:t>Amortization of Intangibles</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6"/>
        </w:trPr>
        <w:tc>
          <w:tcPr>
            <w:tcW w:w="66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Fiscal Year Ended</w:t>
            </w:r>
          </w:p>
        </w:tc>
        <w:tc>
          <w:tcPr>
            <w:tcW w:w="1300" w:type="dxa"/>
            <w:vAlign w:val="bottom"/>
            <w:tcBorders>
              <w:bottom w:val="single" w:sz="8" w:color="auto"/>
            </w:tcBorders>
          </w:tcPr>
          <w:p>
            <w:pPr>
              <w:spacing w:after="0"/>
              <w:rPr>
                <w:sz w:val="22"/>
                <w:szCs w:val="22"/>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w w:val="92"/>
              </w:rPr>
              <w:t>November 30, 2021</w:t>
            </w:r>
          </w:p>
        </w:tc>
        <w:tc>
          <w:tcPr>
            <w:tcW w:w="120" w:type="dxa"/>
            <w:vAlign w:val="bottom"/>
          </w:tcPr>
          <w:p>
            <w:pPr>
              <w:spacing w:after="0"/>
              <w:rPr>
                <w:sz w:val="19"/>
                <w:szCs w:val="19"/>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color w:val="auto"/>
                <w:w w:val="99"/>
              </w:rPr>
              <w:t>November 30, 2020</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 Change</w:t>
            </w: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31,996</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20,049</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6 %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5 %</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6" w:name="page27"/>
    <w:bookmarkEnd w:id="26"/>
    <w:p>
      <w:pPr>
        <w:ind w:right="60"/>
        <w:spacing w:after="0" w:line="263" w:lineRule="auto"/>
        <w:rPr>
          <w:sz w:val="20"/>
          <w:szCs w:val="20"/>
          <w:color w:val="auto"/>
        </w:rPr>
      </w:pPr>
      <w:r>
        <w:rPr>
          <w:rFonts w:ascii="Arial" w:cs="Arial" w:eastAsia="Arial" w:hAnsi="Arial"/>
          <w:sz w:val="18"/>
          <w:szCs w:val="18"/>
          <w:color w:val="auto"/>
        </w:rPr>
        <w:t>Amortization of intangibles included in operating expenses primarily represents the amortization of value assigned to intangible assets obtained in business combinations other than assets identified as purchased technology. Amortization of acquired intangibles increased in fiscal year 2021 due to the additions of Chef and Kemp acquired intangibles.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Restructuring Expenses</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67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Year Ended</w:t>
            </w:r>
          </w:p>
        </w:tc>
        <w:tc>
          <w:tcPr>
            <w:tcW w:w="1300" w:type="dxa"/>
            <w:vAlign w:val="bottom"/>
            <w:tcBorders>
              <w:bottom w:val="single" w:sz="8" w:color="auto"/>
            </w:tcBorders>
          </w:tcPr>
          <w:p>
            <w:pPr>
              <w:spacing w:after="0"/>
              <w:rPr>
                <w:sz w:val="22"/>
                <w:szCs w:val="22"/>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November 30, 2021</w:t>
            </w: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8"/>
              </w:rPr>
              <w:t>November 30, 2020</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 Change</w:t>
            </w: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6,308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5,906</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1 %</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09"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Restructuring expenses recorded in fiscal year 2021 primarily relate to the restructuring activities that occurred in fiscal years 2021 and 2020. See Note 16: Restructuring to our Consolidated Financial Statements in Part II, Item 8 of this Form 10-K for additional details, including types of expenses incurred and the timing of future expenses and cash payments.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i w:val="1"/>
                <w:iCs w:val="1"/>
                <w:color w:val="auto"/>
              </w:rPr>
              <w:t>Acquisition-Related Expenses</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7"/>
        </w:trPr>
        <w:tc>
          <w:tcPr>
            <w:tcW w:w="64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Fiscal Year Ended</w:t>
            </w:r>
          </w:p>
        </w:tc>
        <w:tc>
          <w:tcPr>
            <w:tcW w:w="1480" w:type="dxa"/>
            <w:vAlign w:val="bottom"/>
            <w:tcBorders>
              <w:bottom w:val="single" w:sz="8" w:color="auto"/>
            </w:tcBorders>
          </w:tcPr>
          <w:p>
            <w:pPr>
              <w:spacing w:after="0"/>
              <w:rPr>
                <w:sz w:val="22"/>
                <w:szCs w:val="22"/>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8"/>
              </w:rPr>
              <w:t>November 30, 2021</w:t>
            </w: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November 30, 2020</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 Change</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4,102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3,637</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1 %</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0" w:lineRule="exact"/>
        <w:rPr>
          <w:sz w:val="20"/>
          <w:szCs w:val="20"/>
          <w:color w:val="auto"/>
        </w:rPr>
      </w:pPr>
    </w:p>
    <w:p>
      <w:pPr>
        <w:spacing w:after="0" w:line="35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Acquisition-related costs are expensed as incurred and include those costs incurred as a result of a business combination. These costs primarily consist of professional services fees, including third-party legal and valuation-related fees, as well as retention fees. Acquisition-related expenses in fiscal year 2021 were primarily related to the acquisition of Kemp, as well as our pursuit of other acquisition opportunities. Acquisition-related expenses in fiscal year 2020 were primarily related to the acquisitions of Chef and Ipswitch.</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i w:val="1"/>
                <w:iCs w:val="1"/>
                <w:color w:val="auto"/>
              </w:rPr>
              <w:t>Income from Operations</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66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Borders>
              <w:bottom w:val="single" w:sz="8" w:color="auto"/>
            </w:tcBorders>
          </w:tcPr>
          <w:p>
            <w:pPr>
              <w:spacing w:after="0"/>
              <w:rPr>
                <w:sz w:val="22"/>
                <w:szCs w:val="22"/>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8"/>
              </w:rPr>
              <w:t>November 30, 2021</w:t>
            </w:r>
          </w:p>
        </w:tc>
        <w:tc>
          <w:tcPr>
            <w:tcW w:w="1640" w:type="dxa"/>
            <w:vAlign w:val="bottom"/>
            <w:gridSpan w:val="3"/>
          </w:tcPr>
          <w:p>
            <w:pPr>
              <w:ind w:left="60"/>
              <w:spacing w:after="0"/>
              <w:rPr>
                <w:sz w:val="20"/>
                <w:szCs w:val="20"/>
                <w:color w:val="auto"/>
              </w:rPr>
            </w:pPr>
            <w:r>
              <w:rPr>
                <w:rFonts w:ascii="Arial" w:cs="Arial" w:eastAsia="Arial" w:hAnsi="Arial"/>
                <w:sz w:val="18"/>
                <w:szCs w:val="18"/>
                <w:color w:val="auto"/>
                <w:w w:val="98"/>
              </w:rPr>
              <w:t>November 30, 2020</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 Change</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116,102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107,728</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24 %</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32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Income from operations increased year over year due to an increase in revenue, offset by increases in costs of revenue and operating expenses as shown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i w:val="1"/>
                <w:iCs w:val="1"/>
                <w:color w:val="auto"/>
              </w:rPr>
              <w:t>Other (Expense) Income</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66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Fiscal Year Ended</w:t>
            </w:r>
          </w:p>
        </w:tc>
        <w:tc>
          <w:tcPr>
            <w:tcW w:w="1320" w:type="dxa"/>
            <w:vAlign w:val="bottom"/>
            <w:tcBorders>
              <w:bottom w:val="single" w:sz="8" w:color="auto"/>
            </w:tcBorders>
          </w:tcPr>
          <w:p>
            <w:pPr>
              <w:spacing w:after="0"/>
              <w:rPr>
                <w:sz w:val="22"/>
                <w:szCs w:val="22"/>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November 30, 2021</w:t>
            </w:r>
          </w:p>
        </w:tc>
        <w:tc>
          <w:tcPr>
            <w:tcW w:w="1680" w:type="dxa"/>
            <w:vAlign w:val="bottom"/>
            <w:gridSpan w:val="3"/>
          </w:tcPr>
          <w:p>
            <w:pPr>
              <w:ind w:left="60"/>
              <w:spacing w:after="0"/>
              <w:rPr>
                <w:sz w:val="20"/>
                <w:szCs w:val="20"/>
                <w:color w:val="auto"/>
              </w:rPr>
            </w:pPr>
            <w:r>
              <w:rPr>
                <w:rFonts w:ascii="Arial" w:cs="Arial" w:eastAsia="Arial" w:hAnsi="Arial"/>
                <w:sz w:val="18"/>
                <w:szCs w:val="18"/>
                <w:color w:val="auto"/>
              </w:rPr>
              <w:t>November 30, 2020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 Change</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(20,045)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(10,170)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Interest income and other, net</w:t>
            </w:r>
          </w:p>
        </w:tc>
        <w:tc>
          <w:tcPr>
            <w:tcW w:w="4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loss, net</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(20,568)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(11,093)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Total other expense, net, increased in fiscal year 2021 as a result of increased interest expense over the period, offset by lower foreign currency loss due to lower costs of forward points on our outstanding forward contracts. The increase in interest expense is due to our convertible senior notes, which we issued in April 2021. See the Liquidity and Capital Resources section of this Item 2, Management’s Discussion and Analysis of Financial Condition and Results of Operations for a description of the convertible senior notes.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i w:val="1"/>
                <w:iCs w:val="1"/>
                <w:color w:val="auto"/>
              </w:rPr>
              <w:t>Provision for Income Taxes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6"/>
        </w:trPr>
        <w:tc>
          <w:tcPr>
            <w:tcW w:w="67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Fiscal Year Ended</w:t>
            </w:r>
          </w:p>
        </w:tc>
        <w:tc>
          <w:tcPr>
            <w:tcW w:w="1300" w:type="dxa"/>
            <w:vAlign w:val="bottom"/>
            <w:tcBorders>
              <w:bottom w:val="single" w:sz="8" w:color="auto"/>
            </w:tcBorders>
          </w:tcPr>
          <w:p>
            <w:pPr>
              <w:spacing w:after="0"/>
              <w:rPr>
                <w:sz w:val="22"/>
                <w:szCs w:val="22"/>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gridSpan w:val="2"/>
          </w:tcPr>
          <w:p>
            <w:pPr>
              <w:ind w:left="20"/>
              <w:spacing w:after="0"/>
              <w:rPr>
                <w:sz w:val="20"/>
                <w:szCs w:val="20"/>
                <w:color w:val="auto"/>
              </w:rPr>
            </w:pPr>
            <w:r>
              <w:rPr>
                <w:rFonts w:ascii="Arial" w:cs="Arial" w:eastAsia="Arial" w:hAnsi="Arial"/>
                <w:sz w:val="18"/>
                <w:szCs w:val="18"/>
                <w:color w:val="auto"/>
                <w:w w:val="91"/>
              </w:rPr>
              <w:t>November 30, 2021</w:t>
            </w:r>
          </w:p>
        </w:tc>
        <w:tc>
          <w:tcPr>
            <w:tcW w:w="120" w:type="dxa"/>
            <w:vAlign w:val="bottom"/>
          </w:tcPr>
          <w:p>
            <w:pPr>
              <w:spacing w:after="0"/>
              <w:rPr>
                <w:sz w:val="19"/>
                <w:szCs w:val="19"/>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w w:val="98"/>
              </w:rPr>
              <w:t>November 30, 2020</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 Change</w:t>
            </w: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17,114</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16,913</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4 %</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2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effective income tax rate was 18% for both fiscal years 2021 and 2020. Our jurisdictional mix of profits remained consistent which resulted in a relatively flat tax provision and effective tax rate year-over-year.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i w:val="1"/>
                <w:iCs w:val="1"/>
                <w:color w:val="auto"/>
              </w:rPr>
              <w:t>Net Income</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66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Fiscal Year Ended</w:t>
            </w:r>
          </w:p>
        </w:tc>
        <w:tc>
          <w:tcPr>
            <w:tcW w:w="1300" w:type="dxa"/>
            <w:vAlign w:val="bottom"/>
            <w:tcBorders>
              <w:bottom w:val="single" w:sz="8" w:color="auto"/>
            </w:tcBorders>
          </w:tcPr>
          <w:p>
            <w:pPr>
              <w:spacing w:after="0"/>
              <w:rPr>
                <w:sz w:val="22"/>
                <w:szCs w:val="22"/>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November 30, 2021</w:t>
            </w:r>
          </w:p>
        </w:tc>
        <w:tc>
          <w:tcPr>
            <w:tcW w:w="1720" w:type="dxa"/>
            <w:vAlign w:val="bottom"/>
            <w:gridSpan w:val="3"/>
          </w:tcPr>
          <w:p>
            <w:pPr>
              <w:ind w:left="80"/>
              <w:spacing w:after="0"/>
              <w:rPr>
                <w:sz w:val="20"/>
                <w:szCs w:val="20"/>
                <w:color w:val="auto"/>
              </w:rPr>
            </w:pPr>
            <w:r>
              <w:rPr>
                <w:rFonts w:ascii="Arial" w:cs="Arial" w:eastAsia="Arial" w:hAnsi="Arial"/>
                <w:sz w:val="18"/>
                <w:szCs w:val="18"/>
                <w:color w:val="auto"/>
              </w:rPr>
              <w:t>November 30, 2020</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 Change</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78,420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79,722</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18 %</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Performance Metrics:</w:t>
      </w:r>
    </w:p>
    <w:p>
      <w:pPr>
        <w:spacing w:after="0" w:line="24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Management evaluates our financial performance using a number of financial and operating metrics. These metrics are periodically reviewed and revised to reflect changes in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23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are providing an ARR performance metric to help investors better understand and assess the performance of our business because our mix of revenue generated from recurring sources has increased in recent years. ARR represents the annualized contract value for all active and contractually binding term-based contracts at the end of a period. ARR includes maintenance, software upgrade rights, public cloud and on-premises subscription-based transactions and managed services. ARR mitigates fluctuations due to seasonality, contract term and the sales mix of subscriptions for term-based licenses and SaaS. ARR is not calculated in accordance with GAAP. ARR does not have any standardized meaning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spacing w:after="0" w:line="20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define ARR as the annual recurring revenue of term-based contracts from all customers at a point in time. We calculate ARR by taking monthly recurring revenue, or MRR, and multiplying it by 12. MRR for each month is calculated by aggregating, for all customers during that month, monthly revenue from committed contractual amounts, additional usage and monthly subscriptions. The calculation is done at constant currency using the current year budgeted exchange rates for all periods presented.</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ARR was $486.0 million and $434.0 million as of November 30, 2021 and 2020, respectively, which is an increase of 12% year-over-year. The growth in our ARR is primarily driven by the acquisition of Kemp.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Dollar Retention Rate</w:t>
      </w:r>
    </w:p>
    <w:p>
      <w:pPr>
        <w:spacing w:after="0" w:line="252"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calculate net dollar retention rate as of a period end by starting with the ARR from the cohort of all customers as of 12 months prior to such period end (“Prior Period ARR”). We then calculate the ARR from these same customers as of the current period end (“Current Period ARR”). Current Period ARR includes any expansion and is net of contraction or attrition over the last 12 months but excludes ARR from new customers in the current period. We then divide the total Current Period ARR by the total Prior Period ARR to arrive at the net dollar retention rate. Net dollar retention rate is not calculated in accordance with GAAP.</w:t>
      </w:r>
    </w:p>
    <w:p>
      <w:pPr>
        <w:spacing w:after="0" w:line="21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Our net dollar retention rates have generally ranged between 98% and 101% for all periods presented. Our high net dollar retention rates illustrate our predictable and durable top line performance.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59"/>
        </w:trPr>
        <w:tc>
          <w:tcPr>
            <w:tcW w:w="6980" w:type="dxa"/>
            <w:vAlign w:val="bottom"/>
          </w:tcPr>
          <w:p>
            <w:pPr>
              <w:spacing w:after="0"/>
              <w:rPr>
                <w:sz w:val="20"/>
                <w:szCs w:val="20"/>
                <w:color w:val="auto"/>
              </w:rPr>
            </w:pPr>
            <w:r>
              <w:rPr>
                <w:rFonts w:ascii="Arial" w:cs="Arial" w:eastAsia="Arial" w:hAnsi="Arial"/>
                <w:sz w:val="18"/>
                <w:szCs w:val="18"/>
                <w:i w:val="1"/>
                <w:iCs w:val="1"/>
                <w:color w:val="auto"/>
              </w:rPr>
              <w:t>Cash, Cash Equivalents and Short-Term Investments</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6"/>
        </w:trPr>
        <w:tc>
          <w:tcPr>
            <w:tcW w:w="6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2"/>
                <w:szCs w:val="22"/>
                <w:color w:val="auto"/>
              </w:rPr>
            </w:pPr>
          </w:p>
        </w:tc>
        <w:tc>
          <w:tcPr>
            <w:tcW w:w="1980" w:type="dxa"/>
            <w:vAlign w:val="bottom"/>
            <w:gridSpan w:val="2"/>
          </w:tcPr>
          <w:p>
            <w:pPr>
              <w:ind w:left="120"/>
              <w:spacing w:after="0"/>
              <w:rPr>
                <w:sz w:val="20"/>
                <w:szCs w:val="20"/>
                <w:color w:val="auto"/>
              </w:rPr>
            </w:pPr>
            <w:r>
              <w:rPr>
                <w:rFonts w:ascii="Arial" w:cs="Arial" w:eastAsia="Arial" w:hAnsi="Arial"/>
                <w:sz w:val="18"/>
                <w:szCs w:val="18"/>
                <w:color w:val="auto"/>
              </w:rPr>
              <w:t>November 30, 2021</w:t>
            </w:r>
          </w:p>
        </w:tc>
        <w:tc>
          <w:tcPr>
            <w:tcW w:w="220" w:type="dxa"/>
            <w:vAlign w:val="bottom"/>
          </w:tcPr>
          <w:p>
            <w:pPr>
              <w:spacing w:after="0"/>
              <w:rPr>
                <w:sz w:val="22"/>
                <w:szCs w:val="22"/>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color w:val="auto"/>
                <w:w w:val="96"/>
              </w:rPr>
              <w:t>November 30, 2020</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97,990</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short-term investments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105,995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increase in cash, cash equivalents and short-term investments of $51.4 million from the end of fiscal year 2020 was primarily due to cash inflow from the issuance of the convertible senior notes of $349.2 million, cash inflows from operations of $178.5 million, $9.8 million in cash received from the issuance of common stock, and a decrease in escrow receivable of $2.1 million. These cash inflows were offset by payments for acquisitions, net of cash acquired, of $254.0 million, payments of debt obligations in the amount of $117.3 million, cash paid for the purchase of capped calls of $43.1 million in connection with the convertible note offering, dividend payments of $31.6 million, repurchases of common stock of $35.0 million, purchases of property and equipment of $4.7 million, and the effect of exchange rates on cash of $2.9 million. Except as described below, there are no limitations on our ability to access our cash, cash equivalents and short-term investments.</w:t>
      </w:r>
    </w:p>
    <w:p>
      <w:pPr>
        <w:spacing w:after="0" w:line="203" w:lineRule="exact"/>
        <w:rPr>
          <w:sz w:val="20"/>
          <w:szCs w:val="20"/>
          <w:color w:val="auto"/>
        </w:rPr>
      </w:pPr>
    </w:p>
    <w:p>
      <w:pPr>
        <w:jc w:val="both"/>
        <w:ind w:right="140"/>
        <w:spacing w:after="0" w:line="228" w:lineRule="auto"/>
        <w:rPr>
          <w:sz w:val="20"/>
          <w:szCs w:val="20"/>
          <w:color w:val="auto"/>
        </w:rPr>
      </w:pPr>
      <w:r>
        <w:rPr>
          <w:rFonts w:ascii="Arial" w:cs="Arial" w:eastAsia="Arial" w:hAnsi="Arial"/>
          <w:sz w:val="18"/>
          <w:szCs w:val="18"/>
          <w:color w:val="auto"/>
        </w:rPr>
        <w:t>Cash, cash equivalents and short-term investments held by our foreign subsidiaries were $36.8 million and $24.7 million at November 30, 2021 and 2020, respectively. Foreign cash includes unremitted foreign earnings, which are invested indefinitely outside of the U.S. As such, they are not available to fund our domestic operations. If we were to repatriate these earnings, we may be subject to income tax withholding in certain tax jurisdictions and a portion of the repatriated earnings may be subject to U.S. income tax. However, we do not anticipate that the repatriation of earnings would have a material adverse impact on our liquidity.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January 2020, our Board of Directors increased the total share repurchase authorization from $75.0 million to $250.0 million. In fiscal years 2021 and 2020, we repurchased and retired 0.8 million shares of our common stock for $35.0 million and 1.4 million shares of our common stock for $60.0 million, respectively, under this current authorization. In fiscal year 2019, we repurchased and retired 0.7 million shares of our common stock for $25.0 million. As of November 30, 2021, there was $155.0 million remaining under the current share repurchase authorization.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began paying quarterly cash dividends of $0.125 per share of common stock to Progress stockholders in December 2016 and have paid quarterly dividends since that time. On September 21, 2021, our Board of Directors declared a quarterly dividend of $0.175 per share of common stock that was paid on December 15, 2021 to stockholders of record as of the close of business on December 1, 2021. We have paid aggregate cash dividends totaling $31.6 million, $29.9 million and $27.8 million for the years ended November 30, 2021, November 30, 2020 and November 30, 2019, respectively. Future declarations of dividends and the establishment of future record and payment dates are subject to the final determination of our Board of Directors.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w:t>
      </w:r>
    </w:p>
    <w:p>
      <w:pPr>
        <w:spacing w:after="0" w:line="25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During the fourth quarter of fiscal year 2020, we restructured our operations in connection with the acquisition of Chef. This restructuring resulted in a reduction in redundant positions, primarily within administrative functions of Chef. For the fiscal years ended November 30, 2021 and 2020, we incurred expenses of $4.1 million and $3.9 million, respectively, relating to this restructuring. The expenses are recorded as restructuring expenses in the consolidated statements of operations. We expect to incur additional expenses as part of this action related to employee costs and facility closures as we consolidate offices in various locations during fiscal year 2022, but we do not expect these costs to be material. Cash disbursements for expenses incurred to date under this restructuring are expected to be made through fiscal year 2022. Accordingly, the balance of the restructuring reserve of $4.5 million is included in other accrued liabilities on the consolidated balance sheet at November 30, 2021.</w:t>
      </w:r>
    </w:p>
    <w:p>
      <w:pPr>
        <w:spacing w:after="0" w:line="2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fourth quarter of fiscal year 2021, we restructured our operations in connection with the acquisition of Kemp. This restructuring resulted in a reduction in redundant positions, primarily within administrative functions of Kemp. For the fiscal year ended November 30, 2021, we incurred expenses of $2.0 million relating to this restructuring. The expenses are recorded as restructuring expenses in the consolidated statements of operations. We expect to incur additional expenses as part of this action related to employee costs and facility closures as we consolidate offices in various locations during fiscal year 2022, but we do not expect these costs to be material. Cash disbursements for expenses incurred to date under this restructuring are expected to be made through fiscal year 2022. Accordingly, the balance of the restructuring reserve of $1.9 million is included in other accrued liabilities on the consolidated balance sheet at November 30, 2021.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Credit Facility</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January 25, 2022, we entered into an amended credit agreement providing for a $275.0 million secured term loan and a $300.0 million secured revolving credit facility. The revolving credit facility may be increased, and new term loan commitments may be entered into, by up to an additional amount up to the sum of (A) the greater of (x) $260.0 million and (y) 100% of our consolidated EBITDA and (B) an unlimited additional amount subject to pro forma compliance with a consolidated senior secured net leverage ratio of no greater than 3.75 to 1.00 if the existing or additional lenders are willing to make such increased commitments. This new credit facility replaces our existing secured credit facility dated April 30, 2019.</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amount of the term loan outstanding under our existing secured credit facility was incorporated into the amended and restated credit facility.</w:t>
      </w:r>
    </w:p>
    <w:p>
      <w:pPr>
        <w:spacing w:after="0" w:line="26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revolving credit facility has sublimits for swing line loans up to $25.0 million and for the issuance of standby letters of credit in a face amount up to $25.0 million. We expect to use the revolving credit facility for general corporate purposes, which may include the acquisitions of other businesses, and may also use it for working capital.</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rates for the term loan and revolving credit facility are determined by reference to a term benchmark rate or a base rate at our option and would range from 1.00% to 2.00% above the term benchmark rate or would range from 0.00% to 1.00% above the defined base rate for base rate borrowings, in each case based upon our leverage ratio. Additionally, we may borrow certain foreign currencies at rates set in the same range above the respective term benchmark rates for those currencies, based on our leverage ratio. We will incur a quarterly commitment fee on the undrawn portion of the revolving credit facility, ranging from 0.125% to 0.275% per annum, based upon our leverage ratio. At closing of the revolving credit facility, the applicable interest rate and commitment fee are at the third lowest rate in each range.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credit facility matures on the earlier of (i) January 25, 2027 and (ii) the date that is 181 days prior to the maturity date of our Convertible Senior Notes</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certain conditions as set forth in the amended credit agreement, including the repayment of the Convertible Senior Notes, the refinancing of the Convertible Senior Notes including a maturity date that is at least 181 days after January 25, 2027 and compliance with a liquidity test when all amounts outstanding will be due and payable in full. The revolving credit facility does not require amortization of principal. The term loan requires repayment of principal at the end of each fiscal quarter, beginning with the fiscal quarter ending February 28, 2022. The first eight payments are in the principal amount of $1,718,750 each, the following four payments are in the principal amount of $3,437,500 each, the following eight payments are in the principal amount of $5,156,250 each and the last payment is of the remaining principal amount. Any amounts outstanding under the term loan thereafter would be due on the maturity date. The term loan may be prepaid before maturity in whole or in part at our option without penalty or premium.</w:t>
      </w:r>
    </w:p>
    <w:p>
      <w:pPr>
        <w:spacing w:after="0" w:line="19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are the sole borrower under the credit facility. Our obligations under the amended credit agreement are guaranteed by each of our material domestic subsidiaries and are secured by substantially all of our assets and such material domestic subsidiaries, as well as 100% of the capital stock of our domestic subsidiaries and 65% of the capital stock of our first-tier foreign subsidiaries, in each case, subject to certain exceptions as described in the amended credit agreement. Future material domestic subsidiaries will be required to guaranty our obligations under the amended credit agreement, and to grant security interests in substantially all of their assets to secure such obligations. The amended credit agreement generally prohibits, with certain exceptions, any other liens on our assets and the assets of our subsidiaries, subject to certain exceptions as described in the amended credit agreement.</w:t>
      </w:r>
    </w:p>
    <w:p>
      <w:pPr>
        <w:spacing w:after="0" w:line="19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amended credit agreement contains customary affirmative and negative covenants, including covenants that limit or restrict us and our subsidiaries’ ability to, among other things, grant liens, make investments, make acquisitions, incur indebtedness, merge or consolidate, dispose of assets, pay dividends or make distributions, repurchase stock, change the nature of its business, enter into certain transactions with affiliates and enter into burdensome agreements, in each case subject to customary exceptions for a credit facility of this size and type. We are also required to maintain compliance with a consolidated interest charge coverage ratio and a consolidated total net leverage ratio.</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amended credit agreement includes customary events of default that include, among other things, non-payment defaults, covenant defaults, inaccuracy of representations and warranties, cross default to material indebtedness, bankruptcy and insolvency defaults, material judgment defaults, ERISA defaults and a change of control default. The occurrence of an event of default could result in the acceleration of the obligations under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April 2021, we issued, in a private placement, Convertible Senior Notes with an aggregate principal amount of $325 million, due April 15, 2026, unless earlier repurchased, redeemed or converted. There are no required principal payments prior to the maturity of the Notes. In addition, the Company also granted the initial purchasers of the Notes an option to purchase up to an additional $50.0 million aggregate principal amount of the Notes, for settlement within a 13-day period beginning on, and including, April 13, 2021, of which $35 million of additional Notes were purchased for total proceeds of $360 million. The Notes bear interest at an annual rate of 1%, payable semi-annually in arrears on April 15 and October 15 of each year, beginning on October 15, 2021. See Note 9: Debt for further discussion.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69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6"/>
              </w:rPr>
              <w:t>Fiscal Year Ended</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169"/>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22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1"/>
              </w:rPr>
              <w:t>November 30,</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26,400</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Non-cash reconciling items included in net income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100,666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64,534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90,139</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11,945</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Net cash flows from operating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178,530</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144,847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128,484</w:t>
            </w:r>
          </w:p>
        </w:tc>
      </w:tr>
      <w:tr>
        <w:trPr>
          <w:trHeight w:val="21"/>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80"/>
        <w:spacing w:after="0" w:line="231" w:lineRule="auto"/>
        <w:rPr>
          <w:sz w:val="20"/>
          <w:szCs w:val="20"/>
          <w:color w:val="auto"/>
        </w:rPr>
      </w:pPr>
      <w:r>
        <w:rPr>
          <w:rFonts w:ascii="Arial" w:cs="Arial" w:eastAsia="Arial" w:hAnsi="Arial"/>
          <w:sz w:val="18"/>
          <w:szCs w:val="18"/>
          <w:color w:val="auto"/>
        </w:rPr>
        <w:t>The increase in cash generated from operations in fiscal year 2021 as compared to fiscal year 2020 was primarily due to increased collections resulting from the acquisitions of Chef and Kemp, as well as particularly strong collections generated from the rest of the business, partially offset by increased personnel related expenditures. The increase in non-cash reconciling items included in net income primarily relates to the increase in amortization of intangibles due to the recent acquisitions of Chef and Kemp.</w:t>
      </w:r>
    </w:p>
    <w:p>
      <w:pPr>
        <w:spacing w:after="0" w:line="2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gross accounts receivable as of November 30, 2021 increased by $15.1 million from the end of fiscal year 2020, which is primarily due to the acquisition of Kemp and the timing of billings. Days sales outstanding ("DSO") in accounts receivable increased to 60 days at the end of fiscal year 2021 compared to 54 days at the end of fiscal year 2020, with the increase also due to the timing of billings. In addition, our total deferred revenue as of November 30, 2021 increased by $59.1 million from the end of fiscal year 2020.</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significant changes in operating assets and liabilities in fiscal year 2020 as compared to fiscal year 2019 were primarily due to a decrease in accounts receivable and unbilled receivables. There weren’t any significant non-cash reconciling items included in net income in fiscal year 2020. In fiscal year 2019 there was a $22.7 million intangible asset impairment charge, which was the most significant non-cash reconciling item included in net income. See Note 4: Fair Value Measurements for further discussion. In addition, our gross accounts receivable as of November 30, 2020 increased by $11.7 million from the end of fiscal year 2019, which was primarily due to the acquisition of Chef. DSO in accounts receivable decreased to 54 days at the end of fiscal year 2020 compared to 56 days at the end of fiscal year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i w:val="1"/>
                <w:iCs w:val="1"/>
                <w:color w:val="auto"/>
              </w:rPr>
              <w:t>Cash Flows (used in) from Investing Activities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26"/>
        </w:trPr>
        <w:tc>
          <w:tcPr>
            <w:tcW w:w="6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6"/>
              </w:rPr>
              <w:t>Fiscal Year Ended</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69"/>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22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1"/>
              </w:rPr>
              <w:t>November 30,</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activity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14,770</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(3,998)</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long-lived assets, net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Decrease in escrow receivable and other</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for acquisitions, net of cash acquired</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(213,057)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(225,298)</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Net cash flows (used in) from investing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(250,335)</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(207,293)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(208,380)</w:t>
            </w:r>
          </w:p>
        </w:tc>
      </w:tr>
      <w:tr>
        <w:trPr>
          <w:trHeight w:val="21"/>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Net cash outflows and inflows of our net investment activity are generally a result of the timing of our purchases and maturities of securities, which are classified as cash equivalents or short-term securities, as well as the timing of acquisitions and divestitures. Cash used in investing activities was impacted by the acquisition of Kemp for a net cash amount of $254.0 million, and Chef for a net cash amount of $213.1 million, in fiscal years 2021 and 2020, respectively. In fiscal year 2019 we acquired Ipswitch for a net cash amount of $225.3 million. In addition, we purchased $4.7 million of property and equipment in fiscal year 2021, as compared to $6.5 million in fiscal year 2020 and $4.0 million in fiscal year 2019. We also sold $0.9 million of intangible assets in the fourth quarter of fiscal year 2020 and $6.1 million of certain corporate land and building assets in the second quarter of fiscal year 2019.</w:t>
      </w:r>
    </w:p>
    <w:p>
      <w:pPr>
        <w:sectPr>
          <w:pgSz w:w="11900" w:h="16838" w:orient="portrait"/>
          <w:cols w:equalWidth="0" w:num="1">
            <w:col w:w="11240"/>
          </w:cols>
          <w:pgMar w:left="320" w:top="773"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i w:val="1"/>
                <w:iCs w:val="1"/>
                <w:color w:val="auto"/>
              </w:rPr>
              <w:t>Cash Flows from (used in) Financing Activities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40"/>
        </w:trPr>
        <w:tc>
          <w:tcPr>
            <w:tcW w:w="6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6"/>
              </w:rPr>
              <w:t>Fiscal Year Ended</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69"/>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22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1"/>
              </w:rPr>
              <w:t>November 30,</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stock-based compensation plans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payment to stockholders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(27,760)</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w w:val="98"/>
              </w:rPr>
              <w:t>Proceeds from issuance of senior convertible notes, net of issuance costs of $9.9 million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capped calls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w w:val="96"/>
              </w:rPr>
              <w:t>Proceeds from the issuance of debt, net of payments of principal and debt issuance costs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87,212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178,065</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Net cash flows from (used in) financing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132,113</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130,292</w:t>
            </w:r>
          </w:p>
        </w:tc>
      </w:tr>
      <w:tr>
        <w:trPr>
          <w:trHeight w:val="21"/>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fiscal year 2021, we received $15.0 million from the exercise of stock options and the issuance of shares under our employee stock purchase plan as compared to $11.1 million in fiscal year 2020 and $9.3 million in fiscal year 2019. In addition, we made dividend payments of $31.6 million to our stockholders in fiscal year 2021, as compared to dividend payments of $29.9 million and $27.8 million in fiscal years 2020 and 2019, respectively. Most significantly, in the second quarter of fiscal year 2021, we received $349.2 million in net proceeds from the issuance of convertible senior notes and paid $43.1 million to purchase capped calls in connection with the convertible note offering. We received proceeds from the issuance of debt of $98.5 million in fiscal year 2020 and $185.0 million in fiscal year 2019 in connection with the acquisitions of Chef and Ipswitch, respectively. In addition, we repurchased $35.0 million of our common stock under our share repurchase plan in fiscal year 2021, compared to $60.0 million in fiscal year 2020 and $25.0 million in fiscal year 2019. We also made principal payments on our debt of $117.3 million (including a $98.5 million repayment on the revolving line of credit) during fiscal year 2021, as compared to $11.3 million in fiscal year 2020 and $5.3 million in fiscal year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Obligations</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include standard intellectual property indemnification provisions in our licensing agreements in the ordinary course of business. Pursuant to our product license agreements, we will indemnify, hold harmless, and agree to reimburse the indemnified party for losses suffered or incurred by the indemnified party, generally business partners or customers, in connection with certain patent, copyright or other intellectual property infringement claims by third parties with respect to our products. Other agreements with our customers provide indemnification for claims relating to property damage or personal injury resulting from the performance of services by us or our subcontractors. Historically, our costs to defend lawsuits or settle claims relating to such indemnity agreements have been insignificant. Accordingly, the estimated fair value of these indemnification provisions is immaterial.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Outlook</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Cash from operations in fiscal year 2022 could be affected by various risks and uncertainties, including, but not limited to, the effects of COVID-19 and other risks detailed in Part I, Item 1A titled “Risk Factors.” While the pandemic has not negatively impacted our liquidity and capital resources to date, it has led to increased disruption and volatility in capital markets and credit markets generally which could adversely affect our liquidity and capital resources in the future. However, based on our current business plan, we believe that existing cash balances, together with funds generated from operations and amounts available under our credit facility, will be sufficient to finance our operations and meet our foreseeable cash requirements through at least the next twelve months. We do not contemplate a need for any foreign repatriation of the earnings which are deemed invested indefinitely outside of the U.S. Our foreseeable cash needs include capital expenditures, acquisitions, debt repayments, quarterly cash dividends, share repurchases, lease commitments, restructuring obligations and other long-term obligations.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are based on our consolidated financial statements which have been prepared in accordance with GAAP. We make estimates and assumptions in the preparation of our consolidated financial statements that affect the reported amounts of assets and liabilities, revenue and expenses, and related disclosures of contingent assets and liabilities. We base our estimates on historical experience and various other assumptions that we believe are reasonable under the circumstances.</w:t>
      </w:r>
    </w:p>
    <w:p>
      <w:pPr>
        <w:spacing w:after="0" w:line="198"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Due to the COVID-19 pandemic, there has been uncertainty and disruption in the global economy and financial markets. We are not aware of any specific event or circumstance that would require updates to our estimates or judgments or require us to revise the carrying value of our assets or liabilities as of the date of filing of this Annual Report on Form 10-K with the SEC. These estimates may change as new events occur and additional information is obtained. Actual results could differ materially from these estimates under different assumptions or conditions.</w:t>
      </w:r>
    </w:p>
    <w:p>
      <w:pPr>
        <w:spacing w:after="0" w:line="19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have identified the following critical accounting estimates that require the use of significant judgments and estimates in the preparation of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contracts with customers typically include promises to license one or more products and services to a customer. Determining whether products and services are distinct performance obligations that should be accounted for separately requires significant judgment. Significant judgment is also required to determine the stand-alone selling price ("SSP") of each distinct performance obligation. Our licenses are sold as perpetual or term licenses, and the arrangements typically contain various combinations of maintenance and services, which are generally accounted for as separate performance obligations. We use the residual approach to allocate the transaction price to our software license performance obligations because, due to the pricing of our licenses being highly variable, they do not have an observable SSP.</w:t>
      </w:r>
    </w:p>
    <w:p>
      <w:pPr>
        <w:spacing w:after="0" w:line="2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Maintenance revenue is recognized ratably over the contract period. The SSP of maintenance services is a percentage of the net selling price of the related software license. Professional services revenue is generally recognized as the services are delivered to the customer. We apply the practical expedient of recognizing revenue upon invoicing for time and materials-based arrangements. The SSP of services is based upon observable prices in similar transactions using the hourly rates sold in stand-alone services transactions. Services are either sold on a time and materials basis or prepaid upfront. Revenue related to software-as-a-service ("SaaS") offerings is recognized ratably over the contract period. The SSP of SaaS performance obligations is determined based upon observable prices in stand-alone SaaS transactions.</w:t>
      </w:r>
    </w:p>
    <w:p>
      <w:pPr>
        <w:spacing w:after="0" w:line="2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also consider whether an arrangement has any discounts, material rights, or specified future upgrades that may represent additional performance obligations, although we do not have a history of offering these elements.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 Impairment</w:t>
      </w:r>
    </w:p>
    <w:p>
      <w:pPr>
        <w:spacing w:after="0" w:line="23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had goodwill and net intangible assets of $958.3 million at November 30, 2021. We evaluate goodwill and other intangible assets with indefinite useful lives for impairment annually or on an interim basis when events and circumstances arise that indicate impairment may have occurred. We perform our annual goodwill impairment as of October 31st of each fiscal year.</w:t>
      </w:r>
    </w:p>
    <w:p>
      <w:pPr>
        <w:spacing w:after="0" w:line="202"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We periodically reevaluate our business and have determined during fiscal year 2021 that we have one operating segment and one reporting unit. As such, our goodwill is tested at the entity-level. During fiscal years 2020 and 2019, we operated as three distinct segments. If our assumptions change in the future, we may be required to record impairment charges to reduce our goodwill's carrying value. Changes in the valuation of goodwill could materially impact our operating results and financial position.</w:t>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we evaluate potential impairments outside of our annual measurement date, judgment is required in determining whether an event has occurred that may impair the value of goodwill or intangible assets. Factors that could indicate that an impairment may exist include significant underperformance relative to plan or long-term projections, significant changes in business strategy, significant negative industry or economic trends or a significant decline in our stock price for a sustained period of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Income Tax Accounting</w:t>
      </w:r>
    </w:p>
    <w:p>
      <w:pPr>
        <w:spacing w:after="0" w:line="25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had a net deferred tax liability of $12.7 million at November 30, 2021. We consider scheduled reversals of temporary differences, projected future taxable income, tax planning strategies and other matters in assessing the need for and the amount of a valuation allowance. If we were to change our assumptions or otherwise determine that we were unable to realize all or part of our net deferred tax asset in the future, an adjustment to the deferred tax asset would be charged to income in the period that such change or determination was made.</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Management judgment is also required in evaluating whether a tax position taken or expected to be taken in a tax return, based on the weight of available evidence, indicates that it is more likely than not that, on an evaluation of the technical merits, the tax position will be sustained on audit, including resolution of any related appeals or litigation processes. Management judgment is also required in measuring the tax benefit as the largest amount that is more than 50% likely of being realized upon ultimate settlement. If management made different estimates or judgments, material differences in the amount accrued for uncertain tax positions would occur.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and Capped Calls</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April 2021, we issued Convertible Senior Notes (the "Notes") and also entered into privately negotiated capped call transactions ("Capped Call Transactions") with certain financial institutions. Applying the accounting framework for the Notes and the Capped Call Transaction requires the exercise of judgment and the determination of the fair value of the liability component of the Notes and the fair value of the Capped Calls requires the Company to make significant estimates and assumptions.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accounting for the Notes and the Capped Call Transactions:</w:t>
      </w:r>
    </w:p>
    <w:p>
      <w:pPr>
        <w:spacing w:after="0" w:line="252" w:lineRule="exact"/>
        <w:rPr>
          <w:sz w:val="20"/>
          <w:szCs w:val="20"/>
          <w:color w:val="auto"/>
        </w:rPr>
      </w:pPr>
    </w:p>
    <w:p>
      <w:pPr>
        <w:ind w:left="660" w:right="40" w:hanging="328"/>
        <w:spacing w:after="0" w:line="269"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initial carrying amount of the liability component was calculated by measuring the fair value of a similar debt instrument that does not have an associated conversion feature. The excess of the Notes’ principal amount over the initial carrying amount of the liability component, referred to as the debt discount, is amortized as interest expense over the Notes’ contractual term. The fair value was determined based on a discounted cash flow model. The discount rate used reflected both the time value of money and credit risk inherent in the Notes.</w:t>
      </w:r>
    </w:p>
    <w:p>
      <w:pPr>
        <w:spacing w:after="0" w:line="1" w:lineRule="exact"/>
        <w:rPr>
          <w:rFonts w:ascii="Arial" w:cs="Arial" w:eastAsia="Arial" w:hAnsi="Arial"/>
          <w:sz w:val="17"/>
          <w:szCs w:val="17"/>
          <w:color w:val="auto"/>
        </w:rPr>
      </w:pPr>
    </w:p>
    <w:p>
      <w:pPr>
        <w:ind w:left="660" w:right="20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Notes’ fair value, inclusive of the conversion feature embedded in the Notes, is determined based on the Notes’ quoted price in an over-the-counter market on the last trading day of the reporting period.</w:t>
      </w:r>
    </w:p>
    <w:p>
      <w:pPr>
        <w:ind w:left="660" w:right="4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equity component, which represents the difference between the gross proceeds and the initial liability component, was recorded as an increase to additional paid-in capital and is not remeasured as long as it continues to meet the conditions for equity classification. The carrying amount of the equity component representing the conversion option was determined by deducting the fair value of the liability component from the par value of the Notes.</w:t>
      </w:r>
    </w:p>
    <w:p>
      <w:pPr>
        <w:spacing w:after="0" w:line="1" w:lineRule="exact"/>
        <w:rPr>
          <w:rFonts w:ascii="Arial" w:cs="Arial" w:eastAsia="Arial" w:hAnsi="Arial"/>
          <w:sz w:val="18"/>
          <w:szCs w:val="18"/>
          <w:color w:val="auto"/>
        </w:rPr>
      </w:pPr>
    </w:p>
    <w:p>
      <w:pPr>
        <w:jc w:val="both"/>
        <w:ind w:left="660" w:right="60" w:hanging="328"/>
        <w:spacing w:after="0" w:line="25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Capped Call Transactions are accounted for as derivative instruments. The Capped Call Transactions qualify for the equity scope exception to derivative accounting pursuant to ASC 815 and are measured at fair value, which is the premium paid, at issuance. No subsequent measurement is required as long as they continue to meet the equity scope exception.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recognize stock-based compensation expense based on the fair value of stock-based awards, less the present value of expected dividends when applicable, measured at the date of grant. We estimate the fair value of each stock-based award on the measurement date using either the current market price, the Black-Scholes option valuation model, or the Monte Carlo Simulation valuation model. The Black-Scholes and Monte Carlo Simulation valuation models incorporate assumptions as to the expected stock price volatility, the expected term of the award, a risk-free interest rate and a dividend yield. The expected volatility is based on the historical volatility of our stock price. The expected term is derived from historical data on employee exercises and post-vesting employment termination behavior. The risk-free interest rate is based on the yield of zero-coupon U.S. Treasury securities for the period that is commensurate with the expected option term at the time of grant. The expected dividend yield is based on our historical behavior and future expectations of dividend declarations. The valuations determined by the Monte Carlo Simulation simulate 250,000 future stock prices for Progress and our peer group. We have chosen this amount for the simulation as to minimize the standard modeling error and believe that the resulting distribution gives a reasonable estimate of the grant date fair value.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allocate the purchase price of acquired companies to the tangible and intangible assets acquired and liabilities assumed based on their estimated fair values. The estimates used to value the net assets acquired are based in part on historical experience and information obtained from the management of the acquired company. We generally value the identifiable intangible assets acquired using a discounted cash flow model. The significant estimates used in valuing certain of the intangible assets include, but are not limited to: future expected cash flows of the asset, discount rates to determine the present value of the future cash flows, attrition rates of customers, and expected technology life cycles. We also estimate the useful lives of the intangible assets based on the expected period over which we anticipate generating economic benefit from the asset.</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estimates of fair value are based on assumptions believed to be reasonable at that time. If management made different estimates or judgments, material differences in the fair values of the net assets acquired may result.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Refer to Note 1: Nature of Business and Summary of Significant Accounting Policies to our Consolidated Financial Statements in Part II, Item 8 of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are exposed to a variety of risks, including changes in interest rates affecting the return on our investments and borrowing activities and foreign currency fluctuations. We have established policies and procedures to manage our exposure to fluctuations in interest rates and foreign currency exchange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Exposure to interest rate risk is related to changing interest rates under our Credit Agreement, which are variable and based on an index selected at our option. The rates range from 1.50% to 2.00% above the Eurocurrency rate for Eurocurrency-based borrowings or from 0.50% to 1.00% above the defined base rate for base rate borrowings. Additionally, we may borrow certain foreign currencies at rates set in the same respective range above the London interbank offered interest rates for those currencies. The outstanding balance of the term loan as of November 30, 2021 was $267.1 million.</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July 9, 2019, we entered into an interest rate swap contract with an initial notional amount of $150.0 million to manage the variability of cash flows associated with approximately one-half of our variable rate debt. The contract matures on April 30, 2024 and requires periodic interest rate settlements. Under this interest rate swap contract, we receive a floating rate based on the greater of 1-month LIBOR or 0.00% and pay a fixed rate of 1.855% on the outstanding notional amount. As of November 30, 2021, the notional value of the hedge was $133.1 million. As of November 30, 2021, the fair value of the hedge was a loss of $3.1 million and was included in other noncurrent liabilities on our consolidated balance sheets.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ind w:left="620"/>
              <w:spacing w:after="0"/>
              <w:rPr>
                <w:sz w:val="20"/>
                <w:szCs w:val="20"/>
                <w:color w:val="auto"/>
              </w:rPr>
            </w:pPr>
            <w:r>
              <w:rPr>
                <w:rFonts w:ascii="Arial" w:cs="Arial" w:eastAsia="Arial" w:hAnsi="Arial"/>
                <w:sz w:val="18"/>
                <w:szCs w:val="18"/>
                <w:color w:val="auto"/>
              </w:rPr>
              <w:t>November 30, 2021</w:t>
            </w:r>
          </w:p>
        </w:tc>
        <w:tc>
          <w:tcPr>
            <w:tcW w:w="140" w:type="dxa"/>
            <w:vAlign w:val="bottom"/>
          </w:tcPr>
          <w:p>
            <w:pPr>
              <w:spacing w:after="0"/>
              <w:rPr>
                <w:sz w:val="20"/>
                <w:szCs w:val="20"/>
                <w:color w:val="auto"/>
              </w:rPr>
            </w:pPr>
          </w:p>
        </w:tc>
        <w:tc>
          <w:tcPr>
            <w:tcW w:w="2860" w:type="dxa"/>
            <w:vAlign w:val="bottom"/>
            <w:gridSpan w:val="4"/>
          </w:tcPr>
          <w:p>
            <w:pPr>
              <w:ind w:left="640"/>
              <w:spacing w:after="0"/>
              <w:rPr>
                <w:sz w:val="20"/>
                <w:szCs w:val="20"/>
                <w:color w:val="auto"/>
              </w:rPr>
            </w:pPr>
            <w:r>
              <w:rPr>
                <w:rFonts w:ascii="Arial" w:cs="Arial" w:eastAsia="Arial" w:hAnsi="Arial"/>
                <w:sz w:val="18"/>
                <w:szCs w:val="18"/>
                <w:color w:val="auto"/>
              </w:rPr>
              <w:t>November 30, 2020</w:t>
            </w:r>
          </w:p>
        </w:tc>
      </w:tr>
      <w:tr>
        <w:trPr>
          <w:trHeight w:val="223"/>
        </w:trPr>
        <w:tc>
          <w:tcPr>
            <w:tcW w:w="5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Notional Value</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Notional Value</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Fair Value</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 designated as cash flow hedges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8"/>
              </w:rPr>
              <w:t>133,125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5"/>
              </w:rPr>
              <w:t>142,500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5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Exposure to market rate risk for changes in interest rates relates to our investment portfolio. We have not used derivative financial instruments in our investment portfolio. We place our investments with high-quality issuers and have policies limiting, among other things, the amount of credit exposure to any one issuer. We seek to limit default risk by purchasing only investment-grade securities. Our investments have an average remaining maturity of less than two years or interest-rate resets of less than 60 days and are primarily fixed-rate instruments. In addition, we have classified our debt securities as available-for-sale. The available-for-sale classification reduces the consolidated statements of operations exposure to interest rate risk if such investments are held until their maturity date because changes in fair value due to market changes in interest rates are recorded on the consolidated balance sheet in accumulated other comprehensive income. Based on a hypothetical 10% adverse movement in interest rates, the potential losses in future earnings, fair value of risk-sensitive instruments and cash flows are immaterial.</w:t>
      </w:r>
    </w:p>
    <w:p>
      <w:pPr>
        <w:spacing w:after="0" w:line="20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generally use forward contracts that are not designated as hedging instruments to hedge economically the impact of the variability in exchange rates on intercompany accounts receivable and loans receivable denominated in certain foreign currencies. We generally do not hedge the net assets of our international subsidiaries. All forward contracts are recorded at fair value in other current assets,</w:t>
      </w:r>
    </w:p>
    <w:p>
      <w:pPr>
        <w:sectPr>
          <w:pgSz w:w="11900" w:h="16838" w:orient="portrait"/>
          <w:cols w:equalWidth="0" w:num="1">
            <w:col w:w="11240"/>
          </w:cols>
          <w:pgMar w:left="320" w:top="773"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5" w:name="page36"/>
    <w:bookmarkEnd w:id="35"/>
    <w:p>
      <w:pPr>
        <w:ind w:right="120"/>
        <w:spacing w:after="0" w:line="259" w:lineRule="auto"/>
        <w:rPr>
          <w:sz w:val="20"/>
          <w:szCs w:val="20"/>
          <w:color w:val="auto"/>
        </w:rPr>
      </w:pPr>
      <w:r>
        <w:rPr>
          <w:rFonts w:ascii="Arial" w:cs="Arial" w:eastAsia="Arial" w:hAnsi="Arial"/>
          <w:sz w:val="18"/>
          <w:szCs w:val="18"/>
          <w:color w:val="auto"/>
        </w:rPr>
        <w:t>other assets, other accrued liabilities, or other noncurrent liabilities on the consolidated balance sheets at the end of each reporting period and expire between 30 days and 3 years from the date the contract was entered. In fiscal year 2021, realized and unrealized gains of $2.1 million from our forward contracts were recognized in foreign currency loss, net on the consolidated statements of operations. These losses were substantially offset by realized and unrealized gains and losses on the offsetting positions.</w:t>
      </w:r>
    </w:p>
    <w:p>
      <w:pPr>
        <w:spacing w:after="0" w:line="21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Foreign currency translation exposure from a 10% movement of currency exchange rates would have a material impact on our reported revenue and net income. Based on a hypothetical 10% adverse movement in all foreign currency exchange rates, our revenue would be adversely affected by approximately 3%, or $14 million, and our net income would be adversely affected by approximately 6%, or $5 million (excluding any offsetting positive impact from our ongoing hedging programs), although the actual effects may differ materially from the hypothetical analysis.</w:t>
      </w:r>
    </w:p>
    <w:p>
      <w:pPr>
        <w:spacing w:after="0" w:line="19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below details outstanding foreign currency forward contracts at November 30, 2021 and 2020 where the notional amount is determined using contract exchange rates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5"/>
          </w:tcPr>
          <w:p>
            <w:pPr>
              <w:ind w:left="660"/>
              <w:spacing w:after="0"/>
              <w:rPr>
                <w:sz w:val="20"/>
                <w:szCs w:val="20"/>
                <w:color w:val="auto"/>
              </w:rPr>
            </w:pPr>
            <w:r>
              <w:rPr>
                <w:rFonts w:ascii="Arial" w:cs="Arial" w:eastAsia="Arial" w:hAnsi="Arial"/>
                <w:sz w:val="18"/>
                <w:szCs w:val="18"/>
                <w:color w:val="auto"/>
              </w:rPr>
              <w:t>November 30, 2021</w:t>
            </w:r>
          </w:p>
        </w:tc>
        <w:tc>
          <w:tcPr>
            <w:tcW w:w="160" w:type="dxa"/>
            <w:vAlign w:val="bottom"/>
          </w:tcPr>
          <w:p>
            <w:pPr>
              <w:spacing w:after="0"/>
              <w:rPr>
                <w:sz w:val="20"/>
                <w:szCs w:val="20"/>
                <w:color w:val="auto"/>
              </w:rPr>
            </w:pPr>
          </w:p>
        </w:tc>
        <w:tc>
          <w:tcPr>
            <w:tcW w:w="2920" w:type="dxa"/>
            <w:vAlign w:val="bottom"/>
            <w:gridSpan w:val="4"/>
          </w:tcPr>
          <w:p>
            <w:pPr>
              <w:jc w:val="right"/>
              <w:ind w:right="730"/>
              <w:spacing w:after="0"/>
              <w:rPr>
                <w:sz w:val="20"/>
                <w:szCs w:val="20"/>
                <w:color w:val="auto"/>
              </w:rPr>
            </w:pPr>
            <w:r>
              <w:rPr>
                <w:rFonts w:ascii="Arial" w:cs="Arial" w:eastAsia="Arial" w:hAnsi="Arial"/>
                <w:sz w:val="18"/>
                <w:szCs w:val="18"/>
                <w:color w:val="auto"/>
              </w:rPr>
              <w:t>November 30, 2020</w:t>
            </w:r>
          </w:p>
        </w:tc>
      </w:tr>
      <w:tr>
        <w:trPr>
          <w:trHeight w:val="223"/>
        </w:trPr>
        <w:tc>
          <w:tcPr>
            <w:tcW w:w="4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Notional Value</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Notional Value</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contracts to sell U.S. dollars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Forward contracts to purchase U.S. dollars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703"/>
        </w:trPr>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Progress Software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Progress Software Corporation and subsidiaries (the "Company") as of November 30, 2021 and 2020, the related consolidated statements of operation, comprehensive income, stockholders' equity, and cash flows, for each of the three years in the period ended November 30, 2021, and the related notes (collectively referred to as the "financial statements"). In our opinion, the financial statements present fairly, in all material respects, the financial position of the Company as of November 30, 2021 and 2020, and the results of its operations and its cash flows for each of the three years in the period ended November 30, 2021, in conformity with accounting principles generally accepted in the United States of America.</w:t>
      </w:r>
    </w:p>
    <w:p>
      <w:pPr>
        <w:spacing w:after="0" w:line="21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November 30, 2021, based on criteria established in Internal Control — Integrated Framework (2013) issued by the Committee of Sponsoring Organizations of the Treadway Commission and our report dated January 27, 2022, 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Arial" w:cs="Arial" w:eastAsia="Arial" w:hAnsi="Arial"/>
          <w:sz w:val="18"/>
          <w:szCs w:val="18"/>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 Refer to Note 1 to the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Critical Audit Matter Description</w:t>
      </w:r>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derives revenue from multiple sources, including software licenses, maintenance and services. Frequently, the customer arrangements provide software licenses combined with maintenance and therefore including multiple performance obligations under ASC 606, Revenue from Contracts with Customer. The identification of performance obligations of the arrangement, particularly for more complex customer arrangements, requires a detailed analysis of the contractual terms and application of more complex accounting guidance. In addition, the allocation of the transaction price to each performance obligations within an arrangement (license, maintenance and services) and the timing of revenue recognition, requires the application of management judgment. Revenue arrangements with higher contract values frequently require more complex management judgments.</w:t>
      </w:r>
    </w:p>
    <w:p>
      <w:pPr>
        <w:spacing w:after="0" w:line="19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Given the accounting complexity and the management judgment necessary to identify performance obligations in the arrangement and determine the timing and allocation of revenue in arrangements with multiple performance obligations, auditing revenue recognition for such arrangements required a high degree of auditor judgment and an increased extent of effort.</w:t>
      </w:r>
    </w:p>
    <w:p>
      <w:pPr>
        <w:sectPr>
          <w:pgSz w:w="11900" w:h="16838" w:orient="portrait"/>
          <w:cols w:equalWidth="0" w:num="1">
            <w:col w:w="11240"/>
          </w:cols>
          <w:pgMar w:left="320" w:top="769"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color w:val="auto"/>
        </w:rPr>
        <w:t>How the Critical Audit Matter Was Addressed in the Audit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recognition of revenue from multiple-performance-obligation arrangements included the following, among others:</w:t>
      </w:r>
    </w:p>
    <w:p>
      <w:pPr>
        <w:spacing w:after="0" w:line="264" w:lineRule="exact"/>
        <w:rPr>
          <w:sz w:val="20"/>
          <w:szCs w:val="20"/>
          <w:color w:val="auto"/>
        </w:rPr>
      </w:pPr>
    </w:p>
    <w:p>
      <w:pPr>
        <w:ind w:left="660" w:right="20" w:hanging="328"/>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tested the effectiveness of controls over revenue recognition, including those over the identification of performance obligations included in the transaction, the allocation of transaction price to these performance obligations, the timing of revenue recognition,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evaluated the Company’s accounting policies in the context of the applicable accounting standards.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the methods and assumptions used by management to determine the standalone selling price of delivered and undelivered performance obligations of the arrangement.</w:t>
      </w:r>
    </w:p>
    <w:p>
      <w:pPr>
        <w:ind w:left="660" w:right="48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selected a sample of revenue arrangements, including those arrangements that we considered individually significant, and performed the following:</w:t>
      </w: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 We obtained related contracts and evaluated whether the contracts properly documented the terms of the arrangements in accordance with the Company’s policies.</w:t>
      </w:r>
    </w:p>
    <w:p>
      <w:pPr>
        <w:ind w:left="1300" w:right="80" w:hanging="324"/>
        <w:spacing w:after="0" w:line="250" w:lineRule="auto"/>
        <w:rPr>
          <w:rFonts w:ascii="Arial" w:cs="Arial" w:eastAsia="Arial" w:hAnsi="Arial"/>
          <w:sz w:val="18"/>
          <w:szCs w:val="18"/>
          <w:color w:val="auto"/>
        </w:rPr>
      </w:pPr>
      <w:r>
        <w:rPr>
          <w:rFonts w:ascii="Arial" w:cs="Arial" w:eastAsia="Arial" w:hAnsi="Arial"/>
          <w:sz w:val="18"/>
          <w:szCs w:val="18"/>
          <w:color w:val="auto"/>
        </w:rPr>
        <w:t>– We tested management’s identification of distinct performance obligations by evaluating whether the underlying goods, services, or both were highly interdependent and interrelated.</w:t>
      </w:r>
    </w:p>
    <w:p>
      <w:pPr>
        <w:ind w:left="1300" w:right="280" w:hanging="324"/>
        <w:spacing w:after="0" w:line="250" w:lineRule="auto"/>
        <w:rPr>
          <w:rFonts w:ascii="Arial" w:cs="Arial" w:eastAsia="Arial" w:hAnsi="Arial"/>
          <w:sz w:val="18"/>
          <w:szCs w:val="18"/>
          <w:color w:val="auto"/>
        </w:rPr>
      </w:pPr>
      <w:r>
        <w:rPr>
          <w:rFonts w:ascii="Arial" w:cs="Arial" w:eastAsia="Arial" w:hAnsi="Arial"/>
          <w:sz w:val="18"/>
          <w:szCs w:val="18"/>
          <w:color w:val="auto"/>
        </w:rPr>
        <w:t>– We evaluated whether the Company appropriately determined all performance obligations in the arrangement and whether the methodology to allocate the transaction price to the individual performance obligation was appropriately applied based on their stand-alone selling prices.</w:t>
      </w:r>
    </w:p>
    <w:p>
      <w:pPr>
        <w:spacing w:after="0" w:line="1" w:lineRule="exact"/>
        <w:rPr>
          <w:rFonts w:ascii="Arial" w:cs="Arial" w:eastAsia="Arial" w:hAnsi="Arial"/>
          <w:sz w:val="18"/>
          <w:szCs w:val="18"/>
          <w:color w:val="auto"/>
        </w:rPr>
      </w:pPr>
    </w:p>
    <w:p>
      <w:pPr>
        <w:ind w:left="1300" w:right="660" w:hanging="324"/>
        <w:spacing w:after="0" w:line="250" w:lineRule="auto"/>
        <w:rPr>
          <w:rFonts w:ascii="Arial" w:cs="Arial" w:eastAsia="Arial" w:hAnsi="Arial"/>
          <w:sz w:val="18"/>
          <w:szCs w:val="18"/>
          <w:color w:val="auto"/>
        </w:rPr>
      </w:pPr>
      <w:r>
        <w:rPr>
          <w:rFonts w:ascii="Arial" w:cs="Arial" w:eastAsia="Arial" w:hAnsi="Arial"/>
          <w:sz w:val="18"/>
          <w:szCs w:val="18"/>
          <w:color w:val="auto"/>
        </w:rPr>
        <w:t>– We compared the transaction price to the consideration expected to be received based on current rights and obligations under the contracts and any modifications that were agreed upon with the customers.</w:t>
      </w:r>
    </w:p>
    <w:p>
      <w:pPr>
        <w:ind w:left="1300" w:right="420" w:hanging="324"/>
        <w:spacing w:after="0" w:line="250" w:lineRule="auto"/>
        <w:rPr>
          <w:rFonts w:ascii="Arial" w:cs="Arial" w:eastAsia="Arial" w:hAnsi="Arial"/>
          <w:sz w:val="18"/>
          <w:szCs w:val="18"/>
          <w:color w:val="auto"/>
        </w:rPr>
      </w:pPr>
      <w:r>
        <w:rPr>
          <w:rFonts w:ascii="Arial" w:cs="Arial" w:eastAsia="Arial" w:hAnsi="Arial"/>
          <w:sz w:val="18"/>
          <w:szCs w:val="18"/>
          <w:color w:val="auto"/>
        </w:rPr>
        <w:t>– We tested the allocation of the transaction price to each distinct performance obligation by comparing the relative standalone selling prices to the selling prices of similar goods or services.</w:t>
      </w:r>
    </w:p>
    <w:p>
      <w:pPr>
        <w:ind w:left="1300" w:right="100" w:hanging="324"/>
        <w:spacing w:after="0" w:line="260" w:lineRule="auto"/>
        <w:rPr>
          <w:rFonts w:ascii="Arial" w:cs="Arial" w:eastAsia="Arial" w:hAnsi="Arial"/>
          <w:sz w:val="18"/>
          <w:szCs w:val="18"/>
          <w:color w:val="auto"/>
        </w:rPr>
      </w:pPr>
      <w:r>
        <w:rPr>
          <w:rFonts w:ascii="Arial" w:cs="Arial" w:eastAsia="Arial" w:hAnsi="Arial"/>
          <w:sz w:val="18"/>
          <w:szCs w:val="18"/>
          <w:color w:val="auto"/>
        </w:rPr>
        <w:t>– We evaluated whether the value allocated to each performance obligation was appropriately recognized in the correct accounting period. We obtained evidence of delivery of the performance obligations of the arrangement to the customer.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and capped calls - Refer to Note 9 to the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Critical Audit Matter Description</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April 2021, the Company issued Convertible Senior Notes (the "Notes") with an aggregate principal amount of $360 million, due 2026, in a private placement. In accounting for the issuance of the Notes, the Company separated the Notes into liability and equity components. The carrying amount of the liability component was calculated by measuring the fair value of a similar debt instrument that does not have an associated convertible feature. The fair value was determined utilizing a discounted cash flow model that includes assumptions such as implied credit spread, expected volatility, and the risk-free rate for notes with a similar term. The carrying amount of the equity component representing the conversion option was determined by deducting the fair value of the liability component from the par value of the Notes. The equity component is not remeasured as long as it continues to meet the conditions for equity classification.</w:t>
      </w:r>
    </w:p>
    <w:p>
      <w:pPr>
        <w:spacing w:after="0" w:line="2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April 2021, the Company also entered into privately negotiated capped call transactions (“Capped Call Transactions”) with certain financial institutions. The Capped Call Transactions are generally expected to reduce potential dilution to the common stock upon any conversion of Notes and/or offset any potential cash payments the Company is required to make in excess of the principal amount of converted Notes. The Capped Call Transactions was recorded as a reduction of additional paid-in-capital.</w:t>
      </w:r>
    </w:p>
    <w:p>
      <w:pPr>
        <w:spacing w:after="0" w:line="21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There is complexity in applying the accounting framework for the Notes and the related Capped Call Transactions. In addition, the determination of the fair value of the liability component of the convertible notes requires the Company to make significant estimates and assumptions relating to the implied credit spread, expected volatility, and the risk-free rate for the liability component of the Convertible Notes. Performing audit procedures to evaluate the appropriateness of the accounting framework and the reasonableness of the estimates and assumptions used in the fair value of the liability component of the Notes required a high degree of auditor judgment and an increased extent of effort, including the need to involve our fair value specialists.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How the Critical Audit Matter Was Addressed in the Audit</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audit procedures related to the accounting for the Notes and Capped Call Transactions, including the Company’s judgments and calculations related to the fair value of the liability component of the Notes, included the following procedures, among others:</w:t>
      </w:r>
    </w:p>
    <w:p>
      <w:pPr>
        <w:spacing w:after="0" w:line="197" w:lineRule="exact"/>
        <w:rPr>
          <w:sz w:val="20"/>
          <w:szCs w:val="20"/>
          <w:color w:val="auto"/>
        </w:rPr>
      </w:pPr>
    </w:p>
    <w:p>
      <w:pPr>
        <w:ind w:left="660" w:right="20" w:hanging="328"/>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tested the effectiveness of controls over the Company’s accounting for the Notes and Capped Call Transactions, and over the determination of the fair value of the liability component of the Notes.</w:t>
      </w:r>
    </w:p>
    <w:p>
      <w:pPr>
        <w:spacing w:after="0" w:line="1" w:lineRule="exact"/>
        <w:rPr>
          <w:rFonts w:ascii="Arial" w:cs="Arial" w:eastAsia="Arial" w:hAnsi="Arial"/>
          <w:sz w:val="18"/>
          <w:szCs w:val="18"/>
          <w:color w:val="auto"/>
        </w:rPr>
      </w:pPr>
    </w:p>
    <w:p>
      <w:pPr>
        <w:ind w:left="660" w:right="680" w:hanging="328"/>
        <w:spacing w:after="0" w:line="265"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 the assistance of professionals in our firm having expertise in debt issuance and derivative transaction accounting, we evaluated the Company’s conclusions regarding the accounting treatment applied to the Notes and Capped Call Transactions.</w:t>
      </w:r>
    </w:p>
    <w:p>
      <w:pPr>
        <w:ind w:left="660" w:right="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the assistance of fair value specialists, we evaluated the reasonableness of the valuation methodologies and the significant assumptions used to determine the respective fair values of the liability component of the Notes, by:</w:t>
      </w:r>
    </w:p>
    <w:p>
      <w:pPr>
        <w:ind w:left="1300" w:right="600" w:hanging="324"/>
        <w:spacing w:after="0" w:line="250" w:lineRule="auto"/>
        <w:rPr>
          <w:rFonts w:ascii="Arial" w:cs="Arial" w:eastAsia="Arial" w:hAnsi="Arial"/>
          <w:sz w:val="18"/>
          <w:szCs w:val="18"/>
          <w:color w:val="auto"/>
        </w:rPr>
      </w:pPr>
      <w:r>
        <w:rPr>
          <w:rFonts w:ascii="Arial" w:cs="Arial" w:eastAsia="Arial" w:hAnsi="Arial"/>
          <w:sz w:val="18"/>
          <w:szCs w:val="18"/>
          <w:color w:val="auto"/>
        </w:rPr>
        <w:t>– Testing the source information underlying the respective fair values of the liability component of the Notes and the mathematical accuracy of the calculations.</w:t>
      </w:r>
    </w:p>
    <w:p>
      <w:pPr>
        <w:ind w:left="1300" w:right="700" w:hanging="324"/>
        <w:spacing w:after="0" w:line="260" w:lineRule="auto"/>
        <w:rPr>
          <w:rFonts w:ascii="Arial" w:cs="Arial" w:eastAsia="Arial" w:hAnsi="Arial"/>
          <w:sz w:val="18"/>
          <w:szCs w:val="18"/>
          <w:color w:val="auto"/>
        </w:rPr>
      </w:pPr>
      <w:r>
        <w:rPr>
          <w:rFonts w:ascii="Arial" w:cs="Arial" w:eastAsia="Arial" w:hAnsi="Arial"/>
          <w:sz w:val="18"/>
          <w:szCs w:val="18"/>
          <w:color w:val="auto"/>
        </w:rPr>
        <w:t>– Developing estimates of the respective fair values of the liability component of the Notes using independent expectations of the significant assumptions, and comparing our estimates of fair value to the Company’s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 Acquisition - Refer to Note 8 to the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Critical Audit Matter Description</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completed the acquisition of Kemp Technologies, Inc. (“Kemp”) for cash consideration of approximately $258 million on November 1, 2021. The Company accounted for the acquisition of Kemp under the acquisition method of accounting for business combinations. Accordingly, the purchase price was allocated to the assets acquired and liabilities assumed based on the Company’s initial preliminary estimate of their respective fair values. The method by management for determining the preliminary estimated fair value varied depending on the type of asset or liability. The preliminary estimated fair value of the customer relationships and purchased technology required management to make significant estimates and assumptions related to the discount rates, customer attrition rate, and revenue growth projections.</w:t>
      </w:r>
    </w:p>
    <w:p>
      <w:pPr>
        <w:spacing w:after="0" w:line="20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identified the preliminary valuation of the intangible assets of Kemp as a critical audit matter because it involves estimates made by management. The assessment of the preliminary estimate of fair value required a high degree of auditor judgment and an increased extent of effort when performing audit procedures to evaluate the reasonableness of management’s preliminary estimate of fair value of the customer relationships and purchased technology based on assumptions related to the discount rates, customer attrition rate, and revenue growth projections.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How the Critical Audit Matter Was Addressed in the Audit</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audit procedures related to the preliminary estimate of the fair value of acquired customer relationships and purchased technology for Kemp included the following, among others:</w:t>
      </w:r>
    </w:p>
    <w:p>
      <w:pPr>
        <w:spacing w:after="0" w:line="197" w:lineRule="exact"/>
        <w:rPr>
          <w:sz w:val="20"/>
          <w:szCs w:val="20"/>
          <w:color w:val="auto"/>
        </w:rPr>
      </w:pPr>
    </w:p>
    <w:p>
      <w:pPr>
        <w:ind w:left="660" w:right="980" w:hanging="328"/>
        <w:spacing w:after="0" w:line="29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tested the effectiveness of controls over the preliminary valuation of customer relationships and purchased technology, including management’s controls over forecasts of revenue growth projections, customer attrition rate, and selection of the discount rates.</w:t>
      </w:r>
    </w:p>
    <w:p>
      <w:pPr>
        <w:ind w:left="660" w:right="2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assessed the reasonableness of management’s preliminary estimate of revenue growth projections and customer attrition rate by comparing these assumptions to historical results and certain peer companies.</w:t>
      </w:r>
    </w:p>
    <w:p>
      <w:pPr>
        <w:ind w:left="660" w:right="1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assessed the reasonableness of management’s preliminary estimate of the discount rate by comparison to the historical discount rates used on similar prior acquisitions.</w:t>
      </w: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evaluated the reasonableness of the preliminary estimate of fair value of the customer relationships and purchased technology by:</w:t>
      </w:r>
    </w:p>
    <w:p>
      <w:pPr>
        <w:spacing w:after="0" w:line="20" w:lineRule="exact"/>
        <w:rPr>
          <w:rFonts w:ascii="Arial" w:cs="Arial" w:eastAsia="Arial" w:hAnsi="Arial"/>
          <w:sz w:val="17"/>
          <w:szCs w:val="17"/>
          <w:color w:val="auto"/>
        </w:rPr>
      </w:pPr>
    </w:p>
    <w:p>
      <w:pPr>
        <w:ind w:left="1300" w:right="40" w:hanging="324"/>
        <w:spacing w:after="0" w:line="250" w:lineRule="auto"/>
        <w:rPr>
          <w:rFonts w:ascii="Arial" w:cs="Arial" w:eastAsia="Arial" w:hAnsi="Arial"/>
          <w:sz w:val="17"/>
          <w:szCs w:val="17"/>
          <w:color w:val="auto"/>
        </w:rPr>
      </w:pPr>
      <w:r>
        <w:rPr>
          <w:rFonts w:ascii="Arial" w:cs="Arial" w:eastAsia="Arial" w:hAnsi="Arial"/>
          <w:sz w:val="18"/>
          <w:szCs w:val="18"/>
          <w:color w:val="auto"/>
        </w:rPr>
        <w:t>– Assessing the reasonableness of the source information underlying the determination of the preliminary estimated valuation assumptions and testing the mathematical accuracy of the preliminary calculation.</w:t>
      </w:r>
    </w:p>
    <w:p>
      <w:pPr>
        <w:ind w:left="980"/>
        <w:spacing w:after="0"/>
        <w:rPr>
          <w:rFonts w:ascii="Arial" w:cs="Arial" w:eastAsia="Arial" w:hAnsi="Arial"/>
          <w:sz w:val="17"/>
          <w:szCs w:val="17"/>
          <w:color w:val="auto"/>
        </w:rPr>
      </w:pPr>
      <w:r>
        <w:rPr>
          <w:rFonts w:ascii="Arial" w:cs="Arial" w:eastAsia="Arial" w:hAnsi="Arial"/>
          <w:sz w:val="18"/>
          <w:szCs w:val="18"/>
          <w:color w:val="auto"/>
        </w:rPr>
        <w:t>–   Evaluating whether the preliminary valuation methodology applied was reasonable.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27,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1990.</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PROGRESS SOFTWARE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data)</w:t>
            </w:r>
          </w:p>
        </w:tc>
        <w:tc>
          <w:tcPr>
            <w:tcW w:w="18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color w:val="auto"/>
              </w:rPr>
              <w:t>November 30, 2021</w:t>
            </w:r>
          </w:p>
        </w:tc>
        <w:tc>
          <w:tcPr>
            <w:tcW w:w="160" w:type="dxa"/>
            <w:vAlign w:val="bottom"/>
          </w:tcPr>
          <w:p>
            <w:pPr>
              <w:spacing w:after="0"/>
              <w:rPr>
                <w:sz w:val="17"/>
                <w:szCs w:val="17"/>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color w:val="auto"/>
                <w:w w:val="96"/>
              </w:rPr>
              <w:t>November 30, 2020</w:t>
            </w:r>
          </w:p>
        </w:tc>
        <w:tc>
          <w:tcPr>
            <w:tcW w:w="0" w:type="dxa"/>
            <w:vAlign w:val="bottom"/>
          </w:tcPr>
          <w:p>
            <w:pPr>
              <w:spacing w:after="0"/>
              <w:rPr>
                <w:sz w:val="1"/>
                <w:szCs w:val="1"/>
                <w:color w:val="auto"/>
              </w:rPr>
            </w:pPr>
          </w:p>
        </w:tc>
      </w:tr>
      <w:tr>
        <w:trPr>
          <w:trHeight w:val="199"/>
        </w:trPr>
        <w:tc>
          <w:tcPr>
            <w:tcW w:w="7520" w:type="dxa"/>
            <w:vAlign w:val="bottom"/>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155,406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97,990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Short-term investments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8,005</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cash, cash equivalents and short-term investments</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157,373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105,995</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(less allowances of $634 in 2021 and $1,315 in 2020)</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84,040</w:t>
            </w:r>
          </w:p>
        </w:tc>
        <w:tc>
          <w:tcPr>
            <w:tcW w:w="0" w:type="dxa"/>
            <w:vAlign w:val="bottom"/>
          </w:tcPr>
          <w:p>
            <w:pPr>
              <w:spacing w:after="0"/>
              <w:rPr>
                <w:sz w:val="1"/>
                <w:szCs w:val="1"/>
                <w:color w:val="auto"/>
              </w:rPr>
            </w:pPr>
          </w:p>
        </w:tc>
      </w:tr>
      <w:tr>
        <w:trPr>
          <w:trHeight w:val="213"/>
        </w:trPr>
        <w:tc>
          <w:tcPr>
            <w:tcW w:w="7520" w:type="dxa"/>
            <w:vAlign w:val="bottom"/>
          </w:tcPr>
          <w:p>
            <w:pPr>
              <w:ind w:left="360"/>
              <w:spacing w:after="0"/>
              <w:rPr>
                <w:sz w:val="20"/>
                <w:szCs w:val="20"/>
                <w:color w:val="auto"/>
              </w:rPr>
            </w:pPr>
            <w:r>
              <w:rPr>
                <w:rFonts w:ascii="Arial" w:cs="Arial" w:eastAsia="Arial" w:hAnsi="Arial"/>
                <w:sz w:val="16"/>
                <w:szCs w:val="16"/>
                <w:color w:val="auto"/>
              </w:rPr>
              <w:t>Unbilled receivables and contract assets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25,816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24,917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assets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23,983</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Assets held for sale</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337,808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238,935</w:t>
            </w:r>
          </w:p>
        </w:tc>
        <w:tc>
          <w:tcPr>
            <w:tcW w:w="0" w:type="dxa"/>
            <w:vAlign w:val="bottom"/>
          </w:tcPr>
          <w:p>
            <w:pPr>
              <w:spacing w:after="0"/>
              <w:rPr>
                <w:sz w:val="1"/>
                <w:szCs w:val="1"/>
                <w:color w:val="auto"/>
              </w:rPr>
            </w:pPr>
          </w:p>
        </w:tc>
      </w:tr>
      <w:tr>
        <w:trPr>
          <w:trHeight w:val="207"/>
        </w:trPr>
        <w:tc>
          <w:tcPr>
            <w:tcW w:w="7520" w:type="dxa"/>
            <w:vAlign w:val="bottom"/>
          </w:tcPr>
          <w:p>
            <w:pPr>
              <w:ind w:left="20"/>
              <w:spacing w:after="0"/>
              <w:rPr>
                <w:sz w:val="20"/>
                <w:szCs w:val="20"/>
                <w:color w:val="auto"/>
              </w:rPr>
            </w:pPr>
            <w:r>
              <w:rPr>
                <w:rFonts w:ascii="Arial" w:cs="Arial" w:eastAsia="Arial" w:hAnsi="Arial"/>
                <w:sz w:val="16"/>
                <w:szCs w:val="16"/>
                <w:color w:val="auto"/>
              </w:rPr>
              <w:t>Long-term unbilled receivables and contract assets</w:t>
            </w: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17,464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17,133</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29,817</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287,185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212,747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671,152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491,726</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Right-of-use lease assets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25,253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30,635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14,490</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6,299</w:t>
            </w:r>
          </w:p>
        </w:tc>
        <w:tc>
          <w:tcPr>
            <w:tcW w:w="0" w:type="dxa"/>
            <w:vAlign w:val="bottom"/>
          </w:tcPr>
          <w:p>
            <w:pPr>
              <w:spacing w:after="0"/>
              <w:rPr>
                <w:sz w:val="1"/>
                <w:szCs w:val="1"/>
                <w:color w:val="auto"/>
              </w:rPr>
            </w:pPr>
          </w:p>
        </w:tc>
      </w:tr>
      <w:tr>
        <w:trPr>
          <w:trHeight w:val="235"/>
        </w:trPr>
        <w:tc>
          <w:tcPr>
            <w:tcW w:w="7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1,363,537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1,041,782</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60"/>
              <w:spacing w:after="0"/>
              <w:rPr>
                <w:sz w:val="20"/>
                <w:szCs w:val="20"/>
                <w:color w:val="auto"/>
              </w:rPr>
            </w:pPr>
            <w:r>
              <w:rPr>
                <w:rFonts w:ascii="Arial" w:cs="Arial" w:eastAsia="Arial" w:hAnsi="Arial"/>
                <w:sz w:val="16"/>
                <w:szCs w:val="16"/>
                <w:color w:val="auto"/>
              </w:rPr>
              <w:t>Current portion of long-term debt, net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25,767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18,242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9,978</w:t>
            </w:r>
          </w:p>
        </w:tc>
        <w:tc>
          <w:tcPr>
            <w:tcW w:w="0" w:type="dxa"/>
            <w:vAlign w:val="bottom"/>
          </w:tcPr>
          <w:p>
            <w:pPr>
              <w:spacing w:after="0"/>
              <w:rPr>
                <w:sz w:val="1"/>
                <w:szCs w:val="1"/>
                <w:color w:val="auto"/>
              </w:rPr>
            </w:pPr>
          </w:p>
        </w:tc>
      </w:tr>
      <w:tr>
        <w:trPr>
          <w:trHeight w:val="213"/>
        </w:trPr>
        <w:tc>
          <w:tcPr>
            <w:tcW w:w="7520" w:type="dxa"/>
            <w:vAlign w:val="bottom"/>
          </w:tcPr>
          <w:p>
            <w:pPr>
              <w:ind w:left="360"/>
              <w:spacing w:after="0"/>
              <w:rPr>
                <w:sz w:val="20"/>
                <w:szCs w:val="20"/>
                <w:color w:val="auto"/>
              </w:rPr>
            </w:pPr>
            <w:r>
              <w:rPr>
                <w:rFonts w:ascii="Arial" w:cs="Arial" w:eastAsia="Arial" w:hAnsi="Arial"/>
                <w:sz w:val="16"/>
                <w:szCs w:val="16"/>
                <w:color w:val="auto"/>
              </w:rPr>
              <w:t>Accrued compensation and related taxes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47,116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36,816</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payable to stockholders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7,904</w:t>
            </w:r>
          </w:p>
        </w:tc>
        <w:tc>
          <w:tcPr>
            <w:tcW w:w="0" w:type="dxa"/>
            <w:vAlign w:val="bottom"/>
          </w:tcPr>
          <w:p>
            <w:pPr>
              <w:spacing w:after="0"/>
              <w:rPr>
                <w:sz w:val="1"/>
                <w:szCs w:val="1"/>
                <w:color w:val="auto"/>
              </w:rPr>
            </w:pPr>
          </w:p>
        </w:tc>
      </w:tr>
      <w:tr>
        <w:trPr>
          <w:trHeight w:val="213"/>
        </w:trPr>
        <w:tc>
          <w:tcPr>
            <w:tcW w:w="7520" w:type="dxa"/>
            <w:vAlign w:val="bottom"/>
          </w:tcPr>
          <w:p>
            <w:pPr>
              <w:ind w:left="360"/>
              <w:spacing w:after="0"/>
              <w:rPr>
                <w:sz w:val="20"/>
                <w:szCs w:val="20"/>
                <w:color w:val="auto"/>
              </w:rPr>
            </w:pPr>
            <w:r>
              <w:rPr>
                <w:rFonts w:ascii="Arial" w:cs="Arial" w:eastAsia="Arial" w:hAnsi="Arial"/>
                <w:sz w:val="16"/>
                <w:szCs w:val="16"/>
                <w:color w:val="auto"/>
              </w:rPr>
              <w:t>Short-term operating lease liabilities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7,926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7,015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accrued liabilities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16,201</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Short-term deferred revenue</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166,387</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322,929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262,543</w:t>
            </w:r>
          </w:p>
        </w:tc>
        <w:tc>
          <w:tcPr>
            <w:tcW w:w="0" w:type="dxa"/>
            <w:vAlign w:val="bottom"/>
          </w:tcPr>
          <w:p>
            <w:pPr>
              <w:spacing w:after="0"/>
              <w:rPr>
                <w:sz w:val="1"/>
                <w:szCs w:val="1"/>
                <w:color w:val="auto"/>
              </w:rPr>
            </w:pPr>
          </w:p>
        </w:tc>
      </w:tr>
      <w:tr>
        <w:trPr>
          <w:trHeight w:val="206"/>
        </w:trPr>
        <w:tc>
          <w:tcPr>
            <w:tcW w:w="752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239,992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364,260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net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23,130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26,966</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deferred revenue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26,908</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14,163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15,092</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60"/>
              <w:spacing w:after="0"/>
              <w:rPr>
                <w:sz w:val="20"/>
                <w:szCs w:val="20"/>
                <w:color w:val="auto"/>
              </w:rPr>
            </w:pPr>
            <w:r>
              <w:rPr>
                <w:rFonts w:ascii="Arial" w:cs="Arial" w:eastAsia="Arial" w:hAnsi="Arial"/>
                <w:sz w:val="16"/>
                <w:szCs w:val="16"/>
                <w:color w:val="auto"/>
              </w:rPr>
              <w:t>Preferred stock, $0.01 par value; authorized, 10,000,000 shares; issued, none</w:t>
            </w:r>
          </w:p>
        </w:tc>
        <w:tc>
          <w:tcPr>
            <w:tcW w:w="18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52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4"/>
              </w:rPr>
              <w:t>Common stock, $0.01 par value, and additional paid-in capital; authorized, 200,000,000 shares; issued and</w:t>
            </w:r>
          </w:p>
        </w:tc>
        <w:tc>
          <w:tcPr>
            <w:tcW w:w="18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outstanding, 44,146,193 shares in 2021 and 44,240,635 shares in 2020</w:t>
            </w:r>
          </w:p>
        </w:tc>
        <w:tc>
          <w:tcPr>
            <w:tcW w:w="18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354,235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305,802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72,547</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(32,443)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(32,778)</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412,489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346,013</w:t>
            </w:r>
          </w:p>
        </w:tc>
        <w:tc>
          <w:tcPr>
            <w:tcW w:w="0" w:type="dxa"/>
            <w:vAlign w:val="bottom"/>
          </w:tcPr>
          <w:p>
            <w:pPr>
              <w:spacing w:after="0"/>
              <w:rPr>
                <w:sz w:val="1"/>
                <w:szCs w:val="1"/>
                <w:color w:val="auto"/>
              </w:rPr>
            </w:pPr>
          </w:p>
        </w:tc>
      </w:tr>
      <w:tr>
        <w:trPr>
          <w:trHeight w:val="207"/>
        </w:trPr>
        <w:tc>
          <w:tcPr>
            <w:tcW w:w="7520" w:type="dxa"/>
            <w:vAlign w:val="bottom"/>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1,363,537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1,041,782</w:t>
            </w: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PROGRESS SOFTWARE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90"/>
              </w:rPr>
              <w:t>Fiscal Year Ended</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7"/>
        </w:trPr>
        <w:tc>
          <w:tcPr>
            <w:tcW w:w="67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520" w:type="dxa"/>
            <w:vAlign w:val="bottom"/>
            <w:gridSpan w:val="3"/>
          </w:tcPr>
          <w:p>
            <w:pPr>
              <w:ind w:left="60"/>
              <w:spacing w:after="0"/>
              <w:rPr>
                <w:sz w:val="20"/>
                <w:szCs w:val="20"/>
                <w:color w:val="auto"/>
              </w:rPr>
            </w:pPr>
            <w:r>
              <w:rPr>
                <w:rFonts w:ascii="Arial" w:cs="Arial" w:eastAsia="Arial" w:hAnsi="Arial"/>
                <w:sz w:val="16"/>
                <w:szCs w:val="16"/>
                <w:color w:val="auto"/>
              </w:rPr>
              <w:t>November 30, 2021</w:t>
            </w:r>
          </w:p>
        </w:tc>
        <w:tc>
          <w:tcPr>
            <w:tcW w:w="152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November 30, 2020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w w:val="96"/>
              </w:rPr>
              <w:t>November 30, 2019</w:t>
            </w:r>
          </w:p>
        </w:tc>
      </w:tr>
      <w:tr>
        <w:trPr>
          <w:trHeight w:val="199"/>
        </w:trPr>
        <w:tc>
          <w:tcPr>
            <w:tcW w:w="6760" w:type="dxa"/>
            <w:vAlign w:val="bottom"/>
          </w:tcPr>
          <w:p>
            <w:pPr>
              <w:ind w:left="20"/>
              <w:spacing w:after="0"/>
              <w:rPr>
                <w:sz w:val="20"/>
                <w:szCs w:val="20"/>
                <w:color w:val="auto"/>
              </w:rPr>
            </w:pPr>
            <w:r>
              <w:rPr>
                <w:rFonts w:ascii="Arial" w:cs="Arial" w:eastAsia="Arial" w:hAnsi="Arial"/>
                <w:sz w:val="16"/>
                <w:szCs w:val="16"/>
                <w:color w:val="auto"/>
              </w:rPr>
              <w:t>Revenue:</w:t>
            </w:r>
          </w:p>
        </w:tc>
        <w:tc>
          <w:tcPr>
            <w:tcW w:w="4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Software licenses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122,552</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Maintenance and services</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374,723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326,901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290,746</w:t>
            </w:r>
          </w:p>
        </w:tc>
      </w:tr>
      <w:tr>
        <w:trPr>
          <w:trHeight w:val="213"/>
        </w:trPr>
        <w:tc>
          <w:tcPr>
            <w:tcW w:w="67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revenue</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531,313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442,150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413,298</w:t>
            </w:r>
          </w:p>
        </w:tc>
      </w:tr>
      <w:tr>
        <w:trPr>
          <w:trHeight w:val="193"/>
        </w:trPr>
        <w:tc>
          <w:tcPr>
            <w:tcW w:w="6760" w:type="dxa"/>
            <w:vAlign w:val="bottom"/>
          </w:tcPr>
          <w:p>
            <w:pPr>
              <w:ind w:left="20"/>
              <w:spacing w:after="0"/>
              <w:rPr>
                <w:sz w:val="20"/>
                <w:szCs w:val="20"/>
                <w:color w:val="auto"/>
              </w:rPr>
            </w:pPr>
            <w:r>
              <w:rPr>
                <w:rFonts w:ascii="Arial" w:cs="Arial" w:eastAsia="Arial" w:hAnsi="Arial"/>
                <w:sz w:val="16"/>
                <w:szCs w:val="16"/>
                <w:color w:val="auto"/>
              </w:rPr>
              <w:t>Costs of revenue:</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 of software licenses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Cost of maintenance and services</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58,242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49,744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44,463</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acquired intangibles</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25,884</w:t>
            </w:r>
          </w:p>
        </w:tc>
      </w:tr>
      <w:tr>
        <w:trPr>
          <w:trHeight w:val="207"/>
        </w:trPr>
        <w:tc>
          <w:tcPr>
            <w:tcW w:w="67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costs of revenue</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78,449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62,114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75,241</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452,864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380,036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338,057</w:t>
            </w:r>
          </w:p>
        </w:tc>
      </w:tr>
      <w:tr>
        <w:trPr>
          <w:trHeight w:val="193"/>
        </w:trPr>
        <w:tc>
          <w:tcPr>
            <w:tcW w:w="67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101,701</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Product development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88,599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88,572</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53,360</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Amortization of acquired intangibles</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31,996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22,255</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of intangible and long-lived assets</w:t>
            </w: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24,096</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Restructuring expenses</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6,331</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Acquisition-related expenses</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w:t>
            </w:r>
          </w:p>
        </w:tc>
      </w:tr>
      <w:tr>
        <w:trPr>
          <w:trHeight w:val="207"/>
        </w:trPr>
        <w:tc>
          <w:tcPr>
            <w:tcW w:w="67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operating expenses</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336,762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272,308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297,973</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40,084</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Other (expense) income:</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(9,913)</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Interest income and other, net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1,143</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loss, net</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(2,819)</w:t>
            </w:r>
          </w:p>
        </w:tc>
      </w:tr>
      <w:tr>
        <w:trPr>
          <w:trHeight w:val="207"/>
        </w:trPr>
        <w:tc>
          <w:tcPr>
            <w:tcW w:w="67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other expense, net</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(11,589)</w:t>
            </w:r>
          </w:p>
        </w:tc>
      </w:tr>
      <w:tr>
        <w:trPr>
          <w:trHeight w:val="21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95,534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96,635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28,495</w:t>
            </w:r>
          </w:p>
        </w:tc>
      </w:tr>
      <w:tr>
        <w:trPr>
          <w:trHeight w:val="206"/>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78,420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79,722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6760" w:type="dxa"/>
            <w:vAlign w:val="bottom"/>
          </w:tcPr>
          <w:p>
            <w:pPr>
              <w:ind w:left="480"/>
              <w:spacing w:after="0"/>
              <w:rPr>
                <w:sz w:val="20"/>
                <w:szCs w:val="20"/>
                <w:color w:val="auto"/>
              </w:rPr>
            </w:pPr>
            <w:r>
              <w:rPr>
                <w:rFonts w:ascii="Arial" w:cs="Arial" w:eastAsia="Arial" w:hAnsi="Arial"/>
                <w:sz w:val="16"/>
                <w:szCs w:val="16"/>
                <w:color w:val="auto"/>
              </w:rPr>
              <w:t>Basic</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0.59</w:t>
            </w:r>
          </w:p>
        </w:tc>
      </w:tr>
      <w:tr>
        <w:trPr>
          <w:trHeight w:val="219"/>
        </w:trPr>
        <w:tc>
          <w:tcPr>
            <w:tcW w:w="6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Diluted</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6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Basic</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44,791</w:t>
            </w:r>
          </w:p>
        </w:tc>
      </w:tr>
      <w:tr>
        <w:trPr>
          <w:trHeight w:val="213"/>
        </w:trPr>
        <w:tc>
          <w:tcPr>
            <w:tcW w:w="6760" w:type="dxa"/>
            <w:vAlign w:val="bottom"/>
          </w:tcPr>
          <w:p>
            <w:pPr>
              <w:ind w:left="480"/>
              <w:spacing w:after="0"/>
              <w:rPr>
                <w:sz w:val="20"/>
                <w:szCs w:val="20"/>
                <w:color w:val="auto"/>
              </w:rPr>
            </w:pPr>
            <w:r>
              <w:rPr>
                <w:rFonts w:ascii="Arial" w:cs="Arial" w:eastAsia="Arial" w:hAnsi="Arial"/>
                <w:sz w:val="16"/>
                <w:szCs w:val="16"/>
                <w:color w:val="auto"/>
              </w:rPr>
              <w:t>Diluted</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45,321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45,340</w:t>
            </w:r>
          </w:p>
        </w:tc>
      </w:tr>
      <w:tr>
        <w:trPr>
          <w:trHeight w:val="260"/>
        </w:trPr>
        <w:tc>
          <w:tcPr>
            <w:tcW w:w="67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10"/>
        </w:trPr>
        <w:tc>
          <w:tcPr>
            <w:tcW w:w="6760" w:type="dxa"/>
            <w:vAlign w:val="bottom"/>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0.670</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0.630</w:t>
            </w:r>
          </w:p>
        </w:tc>
      </w:tr>
      <w:tr>
        <w:trPr>
          <w:trHeight w:val="527"/>
        </w:trPr>
        <w:tc>
          <w:tcPr>
            <w:tcW w:w="6760" w:type="dxa"/>
            <w:vAlign w:val="bottom"/>
          </w:tcPr>
          <w:p>
            <w:pPr>
              <w:spacing w:after="0"/>
              <w:rPr>
                <w:sz w:val="20"/>
                <w:szCs w:val="20"/>
                <w:color w:val="auto"/>
              </w:rPr>
            </w:pPr>
            <w:r>
              <w:rPr>
                <w:rFonts w:ascii="Arial" w:cs="Arial" w:eastAsia="Arial" w:hAnsi="Arial"/>
                <w:sz w:val="16"/>
                <w:szCs w:val="16"/>
                <w:color w:val="auto"/>
              </w:rPr>
              <w:t>See notes to consolidated financial statements.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PROGRESS SOFTWARE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w w:val="97"/>
              </w:rPr>
              <w:t>Fiscal Year Ended</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November 30,</w:t>
            </w:r>
          </w:p>
        </w:tc>
        <w:tc>
          <w:tcPr>
            <w:tcW w:w="120" w:type="dxa"/>
            <w:vAlign w:val="bottom"/>
          </w:tcPr>
          <w:p>
            <w:pPr>
              <w:spacing w:after="0"/>
              <w:rPr>
                <w:sz w:val="14"/>
                <w:szCs w:val="14"/>
                <w:color w:val="auto"/>
              </w:rPr>
            </w:pPr>
          </w:p>
        </w:tc>
        <w:tc>
          <w:tcPr>
            <w:tcW w:w="12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November 30,</w:t>
            </w:r>
          </w:p>
        </w:tc>
        <w:tc>
          <w:tcPr>
            <w:tcW w:w="120" w:type="dxa"/>
            <w:vAlign w:val="bottom"/>
          </w:tcPr>
          <w:p>
            <w:pPr>
              <w:spacing w:after="0"/>
              <w:rPr>
                <w:sz w:val="14"/>
                <w:szCs w:val="14"/>
                <w:color w:val="auto"/>
              </w:rPr>
            </w:pPr>
          </w:p>
        </w:tc>
        <w:tc>
          <w:tcPr>
            <w:tcW w:w="1080" w:type="dxa"/>
            <w:vAlign w:val="bottom"/>
          </w:tcPr>
          <w:p>
            <w:pPr>
              <w:jc w:val="right"/>
              <w:ind w:right="59"/>
              <w:spacing w:after="0" w:line="162" w:lineRule="exact"/>
              <w:rPr>
                <w:sz w:val="20"/>
                <w:szCs w:val="20"/>
                <w:color w:val="auto"/>
              </w:rPr>
            </w:pPr>
            <w:r>
              <w:rPr>
                <w:rFonts w:ascii="Arial" w:cs="Arial" w:eastAsia="Arial" w:hAnsi="Arial"/>
                <w:sz w:val="16"/>
                <w:szCs w:val="16"/>
                <w:color w:val="auto"/>
                <w:w w:val="91"/>
              </w:rPr>
              <w:t>November 30,</w:t>
            </w:r>
          </w:p>
        </w:tc>
        <w:tc>
          <w:tcPr>
            <w:tcW w:w="0" w:type="dxa"/>
            <w:vAlign w:val="bottom"/>
          </w:tcPr>
          <w:p>
            <w:pPr>
              <w:spacing w:after="0"/>
              <w:rPr>
                <w:sz w:val="1"/>
                <w:szCs w:val="1"/>
                <w:color w:val="auto"/>
              </w:rPr>
            </w:pPr>
          </w:p>
        </w:tc>
      </w:tr>
      <w:tr>
        <w:trPr>
          <w:trHeight w:val="206"/>
        </w:trPr>
        <w:tc>
          <w:tcPr>
            <w:tcW w:w="7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2"/>
        </w:trPr>
        <w:tc>
          <w:tcPr>
            <w:tcW w:w="7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78,420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79,722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26,400</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48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69"/>
        </w:trPr>
        <w:tc>
          <w:tcPr>
            <w:tcW w:w="7420" w:type="dxa"/>
            <w:vAlign w:val="bottom"/>
            <w:shd w:val="clear" w:color="auto" w:fill="CCEEFF"/>
          </w:tcPr>
          <w:p>
            <w:pPr>
              <w:ind w:left="480"/>
              <w:spacing w:after="0" w:line="169" w:lineRule="exact"/>
              <w:rPr>
                <w:sz w:val="20"/>
                <w:szCs w:val="20"/>
                <w:color w:val="auto"/>
              </w:rPr>
            </w:pPr>
            <w:r>
              <w:rPr>
                <w:rFonts w:ascii="Arial" w:cs="Arial" w:eastAsia="Arial" w:hAnsi="Arial"/>
                <w:sz w:val="16"/>
                <w:szCs w:val="16"/>
                <w:color w:val="auto"/>
                <w:w w:val="93"/>
              </w:rPr>
              <w:t>Unrealized gain (loss) on hedging activity, net of tax provision of $940 in 2021 and a tax benefit of $1,176</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and $503 in 2020 and 2019, respectively</w:t>
            </w: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20" w:type="dxa"/>
            <w:vAlign w:val="bottom"/>
          </w:tcPr>
          <w:p>
            <w:pPr>
              <w:ind w:left="480"/>
              <w:spacing w:after="0" w:line="166" w:lineRule="exact"/>
              <w:rPr>
                <w:sz w:val="20"/>
                <w:szCs w:val="20"/>
                <w:color w:val="auto"/>
              </w:rPr>
            </w:pPr>
            <w:r>
              <w:rPr>
                <w:rFonts w:ascii="Arial" w:cs="Arial" w:eastAsia="Arial" w:hAnsi="Arial"/>
                <w:sz w:val="16"/>
                <w:szCs w:val="16"/>
                <w:color w:val="auto"/>
                <w:w w:val="92"/>
              </w:rPr>
              <w:t>Unrealized (loss) gain on investments, net of tax benefit of $20 in 2021 and a tax provision of $32 and $60</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9"/>
        </w:trPr>
        <w:tc>
          <w:tcPr>
            <w:tcW w:w="74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in 2020 and 2019, respectively</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other comprehensive income (loss), net of tax</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78,755</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76,918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24,602</w:t>
            </w:r>
          </w:p>
        </w:tc>
        <w:tc>
          <w:tcPr>
            <w:tcW w:w="0" w:type="dxa"/>
            <w:vAlign w:val="bottom"/>
          </w:tcPr>
          <w:p>
            <w:pPr>
              <w:spacing w:after="0"/>
              <w:rPr>
                <w:sz w:val="1"/>
                <w:szCs w:val="1"/>
                <w:color w:val="auto"/>
              </w:rPr>
            </w:pPr>
          </w:p>
        </w:tc>
      </w:tr>
      <w:tr>
        <w:trPr>
          <w:trHeight w:val="21"/>
        </w:trPr>
        <w:tc>
          <w:tcPr>
            <w:tcW w:w="7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PROGRESS SOFTWARE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40" w:type="dxa"/>
            <w:vAlign w:val="bottom"/>
          </w:tcPr>
          <w:p>
            <w:pPr>
              <w:spacing w:after="0"/>
              <w:rPr>
                <w:sz w:val="18"/>
                <w:szCs w:val="18"/>
                <w:color w:val="auto"/>
              </w:rPr>
            </w:pPr>
          </w:p>
        </w:tc>
        <w:tc>
          <w:tcPr>
            <w:tcW w:w="2280" w:type="dxa"/>
            <w:vAlign w:val="bottom"/>
            <w:gridSpan w:val="5"/>
          </w:tcPr>
          <w:p>
            <w:pPr>
              <w:ind w:left="58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color w:val="auto"/>
                <w:w w:val="91"/>
              </w:rPr>
              <w:t>Accumulated Other</w:t>
            </w:r>
          </w:p>
        </w:tc>
        <w:tc>
          <w:tcPr>
            <w:tcW w:w="120" w:type="dxa"/>
            <w:vAlign w:val="bottom"/>
          </w:tcPr>
          <w:p>
            <w:pPr>
              <w:spacing w:after="0"/>
              <w:rPr>
                <w:sz w:val="18"/>
                <w:szCs w:val="18"/>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1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6"/>
                <w:szCs w:val="16"/>
                <w:color w:val="auto"/>
                <w:w w:val="93"/>
              </w:rPr>
              <w:t>Number of</w:t>
            </w:r>
          </w:p>
        </w:tc>
        <w:tc>
          <w:tcPr>
            <w:tcW w:w="18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6"/>
              </w:rPr>
              <w:t>Additional</w:t>
            </w:r>
          </w:p>
        </w:tc>
        <w:tc>
          <w:tcPr>
            <w:tcW w:w="160" w:type="dxa"/>
            <w:vAlign w:val="bottom"/>
          </w:tcPr>
          <w:p>
            <w:pPr>
              <w:spacing w:after="0"/>
              <w:rPr>
                <w:sz w:val="2"/>
                <w:szCs w:val="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6"/>
                <w:szCs w:val="16"/>
                <w:color w:val="auto"/>
              </w:rPr>
              <w:t>Retained</w:t>
            </w:r>
          </w:p>
        </w:tc>
        <w:tc>
          <w:tcPr>
            <w:tcW w:w="15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color w:val="auto"/>
              </w:rPr>
              <w:t>Amount</w:t>
            </w: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1"/>
              </w:rPr>
              <w:t>Comprehensive</w:t>
            </w:r>
          </w:p>
        </w:tc>
        <w:tc>
          <w:tcPr>
            <w:tcW w:w="120" w:type="dxa"/>
            <w:vAlign w:val="bottom"/>
          </w:tcPr>
          <w:p>
            <w:pPr>
              <w:spacing w:after="0"/>
              <w:rPr>
                <w:sz w:val="14"/>
                <w:szCs w:val="14"/>
                <w:color w:val="auto"/>
              </w:rPr>
            </w:pPr>
          </w:p>
        </w:tc>
        <w:tc>
          <w:tcPr>
            <w:tcW w:w="102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2"/>
              </w:rPr>
              <w:t>Stockholders'</w:t>
            </w: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82"/>
              </w:rPr>
              <w:t>Shares</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color w:val="auto"/>
                <w:w w:val="95"/>
              </w:rPr>
              <w:t>Paid-In Capital</w:t>
            </w:r>
          </w:p>
        </w:tc>
        <w:tc>
          <w:tcPr>
            <w:tcW w:w="16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color w:val="auto"/>
              </w:rPr>
              <w:t>Earnings</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Loss</w:t>
            </w:r>
          </w:p>
        </w:tc>
        <w:tc>
          <w:tcPr>
            <w:tcW w:w="120" w:type="dxa"/>
            <w:vAlign w:val="bottom"/>
          </w:tcPr>
          <w:p>
            <w:pPr>
              <w:spacing w:after="0"/>
              <w:rPr>
                <w:sz w:val="18"/>
                <w:szCs w:val="18"/>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color w:val="auto"/>
                <w:w w:val="94"/>
              </w:rPr>
              <w:t>Equity</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November 30, 2018, as adjusted</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85,125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(28,176)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324,002</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w w:val="93"/>
              </w:rPr>
              <w:t>Issuance of stock under employee stock purchase plan</w:t>
            </w:r>
          </w:p>
        </w:tc>
        <w:tc>
          <w:tcPr>
            <w:tcW w:w="104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5,507</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0" w:type="dxa"/>
            <w:vAlign w:val="bottom"/>
          </w:tcPr>
          <w:p>
            <w:pPr>
              <w:spacing w:after="0"/>
              <w:rPr>
                <w:sz w:val="1"/>
                <w:szCs w:val="1"/>
                <w:color w:val="auto"/>
              </w:rPr>
            </w:pPr>
          </w:p>
        </w:tc>
      </w:tr>
      <w:tr>
        <w:trPr>
          <w:trHeight w:val="166"/>
        </w:trPr>
        <w:tc>
          <w:tcPr>
            <w:tcW w:w="4040" w:type="dxa"/>
            <w:vAlign w:val="bottom"/>
          </w:tcPr>
          <w:p>
            <w:pPr>
              <w:ind w:left="360"/>
              <w:spacing w:after="0" w:line="166" w:lineRule="exact"/>
              <w:rPr>
                <w:sz w:val="20"/>
                <w:szCs w:val="20"/>
                <w:color w:val="auto"/>
              </w:rPr>
            </w:pPr>
            <w:r>
              <w:rPr>
                <w:rFonts w:ascii="Arial" w:cs="Arial" w:eastAsia="Arial" w:hAnsi="Arial"/>
                <w:sz w:val="16"/>
                <w:szCs w:val="16"/>
                <w:color w:val="auto"/>
                <w:w w:val="93"/>
              </w:rPr>
              <w:t>Vesting of restricted stock units and release of deferred</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4040" w:type="dxa"/>
            <w:vAlign w:val="bottom"/>
          </w:tcPr>
          <w:p>
            <w:pPr>
              <w:ind w:left="360"/>
              <w:spacing w:after="0"/>
              <w:rPr>
                <w:sz w:val="20"/>
                <w:szCs w:val="20"/>
                <w:color w:val="auto"/>
              </w:rPr>
            </w:pPr>
            <w:r>
              <w:rPr>
                <w:rFonts w:ascii="Arial" w:cs="Arial" w:eastAsia="Arial" w:hAnsi="Arial"/>
                <w:sz w:val="16"/>
                <w:szCs w:val="16"/>
                <w:color w:val="auto"/>
              </w:rPr>
              <w:t>stock units</w:t>
            </w: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9"/>
              </w:rPr>
              <w:t>Withholding tax payments related to net issuance of</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(4,278)</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units</w:t>
            </w: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23,311</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5"/>
              </w:rPr>
              <w:t>Issuance of shares related to non-compete agreement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(Note 8)</w:t>
            </w: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Adjustment due to adoption of ASU 2016-16</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declared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(28,267)</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Treasury stock repurchases and retirements</w:t>
            </w:r>
          </w:p>
        </w:tc>
        <w:tc>
          <w:tcPr>
            <w:tcW w:w="104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(23,736)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26,400</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Other comprehensive loss</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(1,798)</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November 30, 2019</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45,037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64,303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330,282</w:t>
            </w:r>
          </w:p>
        </w:tc>
        <w:tc>
          <w:tcPr>
            <w:tcW w:w="0" w:type="dxa"/>
            <w:vAlign w:val="bottom"/>
          </w:tcPr>
          <w:p>
            <w:pPr>
              <w:spacing w:after="0"/>
              <w:rPr>
                <w:sz w:val="1"/>
                <w:szCs w:val="1"/>
                <w:color w:val="auto"/>
              </w:rPr>
            </w:pPr>
          </w:p>
        </w:tc>
      </w:tr>
      <w:tr>
        <w:trPr>
          <w:trHeight w:val="207"/>
        </w:trPr>
        <w:tc>
          <w:tcPr>
            <w:tcW w:w="4040" w:type="dxa"/>
            <w:vAlign w:val="bottom"/>
          </w:tcPr>
          <w:p>
            <w:pPr>
              <w:ind w:left="360"/>
              <w:spacing w:after="0"/>
              <w:rPr>
                <w:sz w:val="20"/>
                <w:szCs w:val="20"/>
                <w:color w:val="auto"/>
              </w:rPr>
            </w:pPr>
            <w:r>
              <w:rPr>
                <w:rFonts w:ascii="Arial" w:cs="Arial" w:eastAsia="Arial" w:hAnsi="Arial"/>
                <w:sz w:val="16"/>
                <w:szCs w:val="16"/>
                <w:color w:val="auto"/>
                <w:w w:val="93"/>
              </w:rPr>
              <w:t>Issuance of stock under employee stock purchase plan</w:t>
            </w:r>
          </w:p>
        </w:tc>
        <w:tc>
          <w:tcPr>
            <w:tcW w:w="104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6,606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w:t>
            </w:r>
          </w:p>
        </w:tc>
        <w:tc>
          <w:tcPr>
            <w:tcW w:w="0" w:type="dxa"/>
            <w:vAlign w:val="bottom"/>
          </w:tcPr>
          <w:p>
            <w:pPr>
              <w:spacing w:after="0"/>
              <w:rPr>
                <w:sz w:val="1"/>
                <w:szCs w:val="1"/>
                <w:color w:val="auto"/>
              </w:rPr>
            </w:pPr>
          </w:p>
        </w:tc>
      </w:tr>
      <w:tr>
        <w:trPr>
          <w:trHeight w:val="166"/>
        </w:trPr>
        <w:tc>
          <w:tcPr>
            <w:tcW w:w="4040" w:type="dxa"/>
            <w:vAlign w:val="bottom"/>
          </w:tcPr>
          <w:p>
            <w:pPr>
              <w:ind w:left="360"/>
              <w:spacing w:after="0" w:line="166" w:lineRule="exact"/>
              <w:rPr>
                <w:sz w:val="20"/>
                <w:szCs w:val="20"/>
                <w:color w:val="auto"/>
              </w:rPr>
            </w:pPr>
            <w:r>
              <w:rPr>
                <w:rFonts w:ascii="Arial" w:cs="Arial" w:eastAsia="Arial" w:hAnsi="Arial"/>
                <w:sz w:val="16"/>
                <w:szCs w:val="16"/>
                <w:color w:val="auto"/>
                <w:w w:val="93"/>
              </w:rPr>
              <w:t>Vesting of restricted stock units and release of deferred</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40" w:type="dxa"/>
            <w:vAlign w:val="bottom"/>
          </w:tcPr>
          <w:p>
            <w:pPr>
              <w:ind w:left="360"/>
              <w:spacing w:after="0"/>
              <w:rPr>
                <w:sz w:val="20"/>
                <w:szCs w:val="20"/>
                <w:color w:val="auto"/>
              </w:rPr>
            </w:pPr>
            <w:r>
              <w:rPr>
                <w:rFonts w:ascii="Arial" w:cs="Arial" w:eastAsia="Arial" w:hAnsi="Arial"/>
                <w:sz w:val="16"/>
                <w:szCs w:val="16"/>
                <w:color w:val="auto"/>
              </w:rPr>
              <w:t>stock units</w:t>
            </w: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9"/>
              </w:rPr>
              <w:t>Withholding tax payments related to net issuance of</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(5,331)</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units</w:t>
            </w: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23,482</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declared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(30,305)</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Treasury stock repurchases and retirements</w:t>
            </w:r>
          </w:p>
        </w:tc>
        <w:tc>
          <w:tcPr>
            <w:tcW w:w="1040" w:type="dxa"/>
            <w:vAlign w:val="bottom"/>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(41,173)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79,722</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Other comprehensive loss</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November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305,802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72,547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346,013</w:t>
            </w:r>
          </w:p>
        </w:tc>
        <w:tc>
          <w:tcPr>
            <w:tcW w:w="0" w:type="dxa"/>
            <w:vAlign w:val="bottom"/>
          </w:tcPr>
          <w:p>
            <w:pPr>
              <w:spacing w:after="0"/>
              <w:rPr>
                <w:sz w:val="1"/>
                <w:szCs w:val="1"/>
                <w:color w:val="auto"/>
              </w:rPr>
            </w:pPr>
          </w:p>
        </w:tc>
      </w:tr>
      <w:tr>
        <w:trPr>
          <w:trHeight w:val="207"/>
        </w:trPr>
        <w:tc>
          <w:tcPr>
            <w:tcW w:w="4040" w:type="dxa"/>
            <w:vAlign w:val="bottom"/>
          </w:tcPr>
          <w:p>
            <w:pPr>
              <w:ind w:left="360"/>
              <w:spacing w:after="0"/>
              <w:rPr>
                <w:sz w:val="20"/>
                <w:szCs w:val="20"/>
                <w:color w:val="auto"/>
              </w:rPr>
            </w:pPr>
            <w:r>
              <w:rPr>
                <w:rFonts w:ascii="Arial" w:cs="Arial" w:eastAsia="Arial" w:hAnsi="Arial"/>
                <w:sz w:val="16"/>
                <w:szCs w:val="16"/>
                <w:color w:val="auto"/>
                <w:w w:val="93"/>
              </w:rPr>
              <w:t>Issuance of stock under employee stock purchase plan</w:t>
            </w:r>
          </w:p>
        </w:tc>
        <w:tc>
          <w:tcPr>
            <w:tcW w:w="104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7,818</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6,997</w:t>
            </w:r>
          </w:p>
        </w:tc>
        <w:tc>
          <w:tcPr>
            <w:tcW w:w="0" w:type="dxa"/>
            <w:vAlign w:val="bottom"/>
          </w:tcPr>
          <w:p>
            <w:pPr>
              <w:spacing w:after="0"/>
              <w:rPr>
                <w:sz w:val="1"/>
                <w:szCs w:val="1"/>
                <w:color w:val="auto"/>
              </w:rPr>
            </w:pPr>
          </w:p>
        </w:tc>
      </w:tr>
      <w:tr>
        <w:trPr>
          <w:trHeight w:val="166"/>
        </w:trPr>
        <w:tc>
          <w:tcPr>
            <w:tcW w:w="4040" w:type="dxa"/>
            <w:vAlign w:val="bottom"/>
          </w:tcPr>
          <w:p>
            <w:pPr>
              <w:ind w:left="360"/>
              <w:spacing w:after="0" w:line="166" w:lineRule="exact"/>
              <w:rPr>
                <w:sz w:val="20"/>
                <w:szCs w:val="20"/>
                <w:color w:val="auto"/>
              </w:rPr>
            </w:pPr>
            <w:r>
              <w:rPr>
                <w:rFonts w:ascii="Arial" w:cs="Arial" w:eastAsia="Arial" w:hAnsi="Arial"/>
                <w:sz w:val="16"/>
                <w:szCs w:val="16"/>
                <w:color w:val="auto"/>
                <w:w w:val="93"/>
              </w:rPr>
              <w:t>Vesting of restricted stock units and release of deferred</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40" w:type="dxa"/>
            <w:vAlign w:val="bottom"/>
          </w:tcPr>
          <w:p>
            <w:pPr>
              <w:ind w:left="360"/>
              <w:spacing w:after="0"/>
              <w:rPr>
                <w:sz w:val="20"/>
                <w:szCs w:val="20"/>
                <w:color w:val="auto"/>
              </w:rPr>
            </w:pPr>
            <w:r>
              <w:rPr>
                <w:rFonts w:ascii="Arial" w:cs="Arial" w:eastAsia="Arial" w:hAnsi="Arial"/>
                <w:sz w:val="16"/>
                <w:szCs w:val="16"/>
                <w:color w:val="auto"/>
              </w:rPr>
              <w:t>stock units</w:t>
            </w: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9"/>
              </w:rPr>
              <w:t>Withholding tax payments related to net issuance of</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(5,186)</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units</w:t>
            </w: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29,724</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5"/>
              </w:rPr>
              <w:t>Equity component of Notes, net of issuance costs and</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47,456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47,456</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w:t>
            </w:r>
          </w:p>
        </w:tc>
        <w:tc>
          <w:tcPr>
            <w:tcW w:w="11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Purchase of capped calls, net of tax</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(32,507)</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declared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(31,581)</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Treasury stock repurchases and retirements</w:t>
            </w:r>
          </w:p>
        </w:tc>
        <w:tc>
          <w:tcPr>
            <w:tcW w:w="104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(29,130)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78,420</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Other comprehensive income</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3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November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354,235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412,489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PROGRESS SOFTWARE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color w:val="auto"/>
              </w:rPr>
              <w:t>Fiscal Year Ended</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7"/>
        </w:trPr>
        <w:tc>
          <w:tcPr>
            <w:tcW w:w="6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gridSpan w:val="3"/>
          </w:tcPr>
          <w:p>
            <w:pPr>
              <w:ind w:left="20"/>
              <w:spacing w:after="0"/>
              <w:rPr>
                <w:sz w:val="20"/>
                <w:szCs w:val="20"/>
                <w:color w:val="auto"/>
              </w:rPr>
            </w:pPr>
            <w:r>
              <w:rPr>
                <w:rFonts w:ascii="Arial" w:cs="Arial" w:eastAsia="Arial" w:hAnsi="Arial"/>
                <w:sz w:val="16"/>
                <w:szCs w:val="16"/>
                <w:color w:val="auto"/>
              </w:rPr>
              <w:t>November 30, 2021</w:t>
            </w:r>
          </w:p>
        </w:tc>
        <w:tc>
          <w:tcPr>
            <w:tcW w:w="1480" w:type="dxa"/>
            <w:vAlign w:val="bottom"/>
            <w:gridSpan w:val="3"/>
          </w:tcPr>
          <w:p>
            <w:pPr>
              <w:ind w:left="40"/>
              <w:spacing w:after="0"/>
              <w:rPr>
                <w:sz w:val="20"/>
                <w:szCs w:val="20"/>
                <w:color w:val="auto"/>
              </w:rPr>
            </w:pPr>
            <w:r>
              <w:rPr>
                <w:rFonts w:ascii="Arial" w:cs="Arial" w:eastAsia="Arial" w:hAnsi="Arial"/>
                <w:sz w:val="16"/>
                <w:szCs w:val="16"/>
                <w:color w:val="auto"/>
              </w:rPr>
              <w:t>November 30, 2020</w:t>
            </w:r>
          </w:p>
        </w:tc>
        <w:tc>
          <w:tcPr>
            <w:tcW w:w="1360" w:type="dxa"/>
            <w:vAlign w:val="bottom"/>
            <w:gridSpan w:val="2"/>
          </w:tcPr>
          <w:p>
            <w:pPr>
              <w:ind w:left="40"/>
              <w:spacing w:after="0"/>
              <w:rPr>
                <w:sz w:val="20"/>
                <w:szCs w:val="20"/>
                <w:color w:val="auto"/>
              </w:rPr>
            </w:pPr>
            <w:r>
              <w:rPr>
                <w:rFonts w:ascii="Arial" w:cs="Arial" w:eastAsia="Arial" w:hAnsi="Arial"/>
                <w:sz w:val="16"/>
                <w:szCs w:val="16"/>
                <w:color w:val="auto"/>
                <w:w w:val="92"/>
              </w:rPr>
              <w:t>November 30, 2019</w:t>
            </w:r>
          </w:p>
        </w:tc>
      </w:tr>
      <w:tr>
        <w:trPr>
          <w:trHeight w:val="199"/>
        </w:trPr>
        <w:tc>
          <w:tcPr>
            <w:tcW w:w="694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26,400</w:t>
            </w: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6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and amortization of property and equipment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7,552</w:t>
            </w:r>
          </w:p>
        </w:tc>
      </w:tr>
      <w:tr>
        <w:trPr>
          <w:trHeight w:val="213"/>
        </w:trPr>
        <w:tc>
          <w:tcPr>
            <w:tcW w:w="6940" w:type="dxa"/>
            <w:vAlign w:val="bottom"/>
          </w:tcPr>
          <w:p>
            <w:pPr>
              <w:ind w:left="680"/>
              <w:spacing w:after="0"/>
              <w:rPr>
                <w:sz w:val="20"/>
                <w:szCs w:val="20"/>
                <w:color w:val="auto"/>
              </w:rPr>
            </w:pPr>
            <w:r>
              <w:rPr>
                <w:rFonts w:ascii="Arial" w:cs="Arial" w:eastAsia="Arial" w:hAnsi="Arial"/>
                <w:sz w:val="16"/>
                <w:szCs w:val="16"/>
                <w:color w:val="auto"/>
              </w:rPr>
              <w:t>Amortization of acquired intangibles and other</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47,507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28,621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49,127</w:t>
            </w:r>
          </w:p>
        </w:tc>
      </w:tr>
      <w:tr>
        <w:trPr>
          <w:trHeight w:val="219"/>
        </w:trPr>
        <w:tc>
          <w:tcPr>
            <w:tcW w:w="6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discount and issuance costs on Notes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tcPr>
          <w:p>
            <w:pPr>
              <w:ind w:left="680"/>
              <w:spacing w:after="0"/>
              <w:rPr>
                <w:sz w:val="20"/>
                <w:szCs w:val="20"/>
                <w:color w:val="auto"/>
              </w:rPr>
            </w:pPr>
            <w:r>
              <w:rPr>
                <w:rFonts w:ascii="Arial" w:cs="Arial" w:eastAsia="Arial" w:hAnsi="Arial"/>
                <w:sz w:val="16"/>
                <w:szCs w:val="16"/>
                <w:color w:val="auto"/>
              </w:rPr>
              <w:t>Stock-based compensation</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29,724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23,482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23,311</w:t>
            </w:r>
          </w:p>
        </w:tc>
      </w:tr>
      <w:tr>
        <w:trPr>
          <w:trHeight w:val="219"/>
        </w:trPr>
        <w:tc>
          <w:tcPr>
            <w:tcW w:w="6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lease expense</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tcPr>
          <w:p>
            <w:pPr>
              <w:ind w:left="680"/>
              <w:spacing w:after="0"/>
              <w:rPr>
                <w:sz w:val="20"/>
                <w:szCs w:val="20"/>
                <w:color w:val="auto"/>
              </w:rPr>
            </w:pPr>
            <w:r>
              <w:rPr>
                <w:rFonts w:ascii="Arial" w:cs="Arial" w:eastAsia="Arial" w:hAnsi="Arial"/>
                <w:sz w:val="16"/>
                <w:szCs w:val="16"/>
                <w:color w:val="auto"/>
              </w:rPr>
              <w:t>Loss on disposal of property and equipment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219"/>
        </w:trPr>
        <w:tc>
          <w:tcPr>
            <w:tcW w:w="6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of intangible and long-lived assets</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24,096</w:t>
            </w:r>
          </w:p>
        </w:tc>
      </w:tr>
      <w:tr>
        <w:trPr>
          <w:trHeight w:val="213"/>
        </w:trPr>
        <w:tc>
          <w:tcPr>
            <w:tcW w:w="694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(14,869)</w:t>
            </w:r>
          </w:p>
        </w:tc>
      </w:tr>
      <w:tr>
        <w:trPr>
          <w:trHeight w:val="219"/>
        </w:trPr>
        <w:tc>
          <w:tcPr>
            <w:tcW w:w="6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Allowances for bad debt and sales credits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13"/>
        </w:trPr>
        <w:tc>
          <w:tcPr>
            <w:tcW w:w="6940" w:type="dxa"/>
            <w:vAlign w:val="bottom"/>
          </w:tcPr>
          <w:p>
            <w:pPr>
              <w:ind w:left="680"/>
              <w:spacing w:after="0"/>
              <w:rPr>
                <w:sz w:val="20"/>
                <w:szCs w:val="20"/>
                <w:color w:val="auto"/>
              </w:rPr>
            </w:pPr>
            <w:r>
              <w:rPr>
                <w:rFonts w:ascii="Arial" w:cs="Arial" w:eastAsia="Arial" w:hAnsi="Arial"/>
                <w:sz w:val="16"/>
                <w:szCs w:val="16"/>
                <w:color w:val="auto"/>
              </w:rPr>
              <w:t>Gain on sale of intangible assets</w:t>
            </w:r>
          </w:p>
        </w:tc>
        <w:tc>
          <w:tcPr>
            <w:tcW w:w="4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6940" w:type="dxa"/>
            <w:vAlign w:val="bottom"/>
          </w:tcPr>
          <w:p>
            <w:pPr>
              <w:ind w:left="1120"/>
              <w:spacing w:after="0"/>
              <w:rPr>
                <w:sz w:val="20"/>
                <w:szCs w:val="20"/>
                <w:color w:val="auto"/>
              </w:rPr>
            </w:pPr>
            <w:r>
              <w:rPr>
                <w:rFonts w:ascii="Arial" w:cs="Arial" w:eastAsia="Arial" w:hAnsi="Arial"/>
                <w:sz w:val="16"/>
                <w:szCs w:val="16"/>
                <w:color w:val="auto"/>
              </w:rPr>
              <w:t>Accounts receivable and unbilled receivables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10,682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(24,655)</w:t>
            </w:r>
          </w:p>
        </w:tc>
      </w:tr>
      <w:tr>
        <w:trPr>
          <w:trHeight w:val="219"/>
        </w:trPr>
        <w:tc>
          <w:tcPr>
            <w:tcW w:w="69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assets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w:t>
            </w:r>
          </w:p>
        </w:tc>
      </w:tr>
      <w:tr>
        <w:trPr>
          <w:trHeight w:val="213"/>
        </w:trPr>
        <w:tc>
          <w:tcPr>
            <w:tcW w:w="6940" w:type="dxa"/>
            <w:vAlign w:val="bottom"/>
          </w:tcPr>
          <w:p>
            <w:pPr>
              <w:ind w:left="112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payable and accrued liabilities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9,116</w:t>
            </w:r>
          </w:p>
        </w:tc>
      </w:tr>
      <w:tr>
        <w:trPr>
          <w:trHeight w:val="213"/>
        </w:trPr>
        <w:tc>
          <w:tcPr>
            <w:tcW w:w="6940" w:type="dxa"/>
            <w:vAlign w:val="bottom"/>
          </w:tcPr>
          <w:p>
            <w:pPr>
              <w:ind w:left="1120"/>
              <w:spacing w:after="0"/>
              <w:rPr>
                <w:sz w:val="20"/>
                <w:szCs w:val="20"/>
                <w:color w:val="auto"/>
              </w:rPr>
            </w:pPr>
            <w:r>
              <w:rPr>
                <w:rFonts w:ascii="Arial" w:cs="Arial" w:eastAsia="Arial" w:hAnsi="Arial"/>
                <w:sz w:val="16"/>
                <w:szCs w:val="16"/>
                <w:color w:val="auto"/>
              </w:rPr>
              <w:t>Lease liabilities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(8,101)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 payable</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r>
      <w:tr>
        <w:trPr>
          <w:trHeight w:val="213"/>
        </w:trPr>
        <w:tc>
          <w:tcPr>
            <w:tcW w:w="69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Deferred revenue</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30,473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29,840</w:t>
            </w:r>
          </w:p>
        </w:tc>
      </w:tr>
      <w:tr>
        <w:trPr>
          <w:trHeight w:val="213"/>
        </w:trPr>
        <w:tc>
          <w:tcPr>
            <w:tcW w:w="69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flows from operating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178,530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144,847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128,484</w:t>
            </w:r>
          </w:p>
        </w:tc>
      </w:tr>
      <w:tr>
        <w:trPr>
          <w:trHeight w:val="193"/>
        </w:trPr>
        <w:tc>
          <w:tcPr>
            <w:tcW w:w="6940" w:type="dxa"/>
            <w:vAlign w:val="bottom"/>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investments</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(10,550)</w:t>
            </w: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Sales and maturities of investments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16,401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25,320</w:t>
            </w: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and equipment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w:t>
            </w: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Payments for acquisitions, net of cash acquired</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(253,961)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(213,057)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(225,298)</w:t>
            </w: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long-lived assets, net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6,146</w:t>
            </w: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Decrease in escrow receivable and other</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tcBorders>
              <w:top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Net cash flows used in investing activities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(250,335)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(207,293)</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(208,380)</w:t>
            </w:r>
          </w:p>
        </w:tc>
      </w:tr>
      <w:tr>
        <w:trPr>
          <w:trHeight w:val="193"/>
        </w:trPr>
        <w:tc>
          <w:tcPr>
            <w:tcW w:w="69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stock-based compensation plans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9,265</w:t>
            </w: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Payments for taxes related to net share settlements of equity awards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(5,331)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(4,278)</w:t>
            </w: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Repurchases of common stock</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Proceeds from issuance of senior convertible notes, net of issuance costs of $9.9 million</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350,100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capped calls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Dividend payments to stockholders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(31,561)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(29,900)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(27,760)</w:t>
            </w: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the issuance of debt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184,985</w:t>
            </w: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Payment of principal on long-term debt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(117,313)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(5,309)</w:t>
            </w: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issuance costs for long-term debt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w:t>
            </w:r>
          </w:p>
        </w:tc>
      </w:tr>
      <w:tr>
        <w:trPr>
          <w:trHeight w:val="207"/>
        </w:trPr>
        <w:tc>
          <w:tcPr>
            <w:tcW w:w="694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Net cash flows from financing activities</w:t>
            </w:r>
          </w:p>
        </w:tc>
        <w:tc>
          <w:tcPr>
            <w:tcW w:w="4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132,113</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3,080</w:t>
            </w: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130,292</w:t>
            </w:r>
          </w:p>
        </w:tc>
      </w:tr>
      <w:tr>
        <w:trPr>
          <w:trHeight w:val="212"/>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r>
      <w:tr>
        <w:trPr>
          <w:trHeight w:val="207"/>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57,416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(56,269)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49,133</w:t>
            </w:r>
          </w:p>
        </w:tc>
      </w:tr>
      <w:tr>
        <w:trPr>
          <w:trHeight w:val="213"/>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year</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97,990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154,259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105,126</w:t>
            </w:r>
          </w:p>
        </w:tc>
      </w:tr>
      <w:tr>
        <w:trPr>
          <w:trHeight w:val="206"/>
        </w:trPr>
        <w:tc>
          <w:tcPr>
            <w:tcW w:w="6940" w:type="dxa"/>
            <w:vAlign w:val="bottom"/>
          </w:tcPr>
          <w:p>
            <w:pPr>
              <w:ind w:left="20"/>
              <w:spacing w:after="0"/>
              <w:rPr>
                <w:sz w:val="20"/>
                <w:szCs w:val="20"/>
                <w:color w:val="auto"/>
              </w:rPr>
            </w:pPr>
            <w:r>
              <w:rPr>
                <w:rFonts w:ascii="Arial" w:cs="Arial" w:eastAsia="Arial" w:hAnsi="Arial"/>
                <w:sz w:val="16"/>
                <w:szCs w:val="16"/>
                <w:color w:val="auto"/>
              </w:rPr>
              <w:t>Cash and cash equivalents, end of year</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155,406</w:t>
            </w:r>
          </w:p>
        </w:tc>
        <w:tc>
          <w:tcPr>
            <w:tcW w:w="100" w:type="dxa"/>
            <w:vAlign w:val="bottom"/>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97,990</w:t>
            </w:r>
          </w:p>
        </w:tc>
        <w:tc>
          <w:tcPr>
            <w:tcW w:w="120" w:type="dxa"/>
            <w:vAlign w:val="bottom"/>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154,259</w:t>
            </w:r>
          </w:p>
        </w:tc>
      </w:tr>
      <w:tr>
        <w:trPr>
          <w:trHeight w:val="24"/>
        </w:trPr>
        <w:tc>
          <w:tcPr>
            <w:tcW w:w="6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9"/>
        </w:trPr>
        <w:tc>
          <w:tcPr>
            <w:tcW w:w="6680" w:type="dxa"/>
            <w:vAlign w:val="bottom"/>
          </w:tcPr>
          <w:p>
            <w:pPr>
              <w:ind w:left="20"/>
              <w:spacing w:after="0"/>
              <w:rPr>
                <w:sz w:val="20"/>
                <w:szCs w:val="20"/>
                <w:color w:val="auto"/>
              </w:rPr>
            </w:pPr>
            <w:r>
              <w:rPr>
                <w:rFonts w:ascii="Arial" w:cs="Arial" w:eastAsia="Arial" w:hAnsi="Arial"/>
                <w:sz w:val="16"/>
                <w:szCs w:val="16"/>
                <w:color w:val="auto"/>
              </w:rPr>
              <w:t>Supplemental disclosure:</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5"/>
              </w:rPr>
              <w:t>Cash paid for income taxes, net of refunds of $894 in 2021, $724 in 2020 and $1,385 in 2019</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25,915</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16,107</w:t>
            </w:r>
          </w:p>
        </w:tc>
        <w:tc>
          <w:tcPr>
            <w:tcW w:w="5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16,340</w:t>
            </w:r>
          </w:p>
        </w:tc>
        <w:tc>
          <w:tcPr>
            <w:tcW w:w="0" w:type="dxa"/>
            <w:vAlign w:val="bottom"/>
          </w:tcPr>
          <w:p>
            <w:pPr>
              <w:spacing w:after="0"/>
              <w:rPr>
                <w:sz w:val="1"/>
                <w:szCs w:val="1"/>
                <w:color w:val="auto"/>
              </w:rPr>
            </w:pPr>
          </w:p>
        </w:tc>
      </w:tr>
      <w:tr>
        <w:trPr>
          <w:trHeight w:val="213"/>
        </w:trPr>
        <w:tc>
          <w:tcPr>
            <w:tcW w:w="6680" w:type="dxa"/>
            <w:vAlign w:val="bottom"/>
          </w:tcPr>
          <w:p>
            <w:pPr>
              <w:ind w:left="360"/>
              <w:spacing w:after="0"/>
              <w:rPr>
                <w:sz w:val="20"/>
                <w:szCs w:val="20"/>
                <w:color w:val="auto"/>
              </w:rPr>
            </w:pPr>
            <w:r>
              <w:rPr>
                <w:rFonts w:ascii="Arial" w:cs="Arial" w:eastAsia="Arial" w:hAnsi="Arial"/>
                <w:sz w:val="16"/>
                <w:szCs w:val="16"/>
                <w:color w:val="auto"/>
              </w:rPr>
              <w:t>Cash paid for interest</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8,537</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9,175</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8,666</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investing and financing activities: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680" w:type="dxa"/>
            <w:vAlign w:val="bottom"/>
          </w:tcPr>
          <w:p>
            <w:pPr>
              <w:ind w:left="680"/>
              <w:spacing w:after="0" w:line="166" w:lineRule="exact"/>
              <w:rPr>
                <w:sz w:val="20"/>
                <w:szCs w:val="20"/>
                <w:color w:val="auto"/>
              </w:rPr>
            </w:pPr>
            <w:r>
              <w:rPr>
                <w:rFonts w:ascii="Arial" w:cs="Arial" w:eastAsia="Arial" w:hAnsi="Arial"/>
                <w:sz w:val="16"/>
                <w:szCs w:val="16"/>
                <w:color w:val="auto"/>
                <w:w w:val="93"/>
              </w:rPr>
              <w:t>Total fair value of restricted stock awards, restricted stock units and deferred stock units on</w:t>
            </w:r>
          </w:p>
        </w:tc>
        <w:tc>
          <w:tcPr>
            <w:tcW w:w="580" w:type="dxa"/>
            <w:vAlign w:val="bottom"/>
            <w:vMerge w:val="restart"/>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18,102</w:t>
            </w:r>
          </w:p>
        </w:tc>
        <w:tc>
          <w:tcPr>
            <w:tcW w:w="580" w:type="dxa"/>
            <w:vAlign w:val="bottom"/>
            <w:vMerge w:val="restart"/>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17,046</w:t>
            </w:r>
          </w:p>
        </w:tc>
        <w:tc>
          <w:tcPr>
            <w:tcW w:w="580" w:type="dxa"/>
            <w:vAlign w:val="bottom"/>
            <w:vMerge w:val="restart"/>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16,573</w:t>
            </w:r>
          </w:p>
        </w:tc>
        <w:tc>
          <w:tcPr>
            <w:tcW w:w="0" w:type="dxa"/>
            <w:vAlign w:val="bottom"/>
          </w:tcPr>
          <w:p>
            <w:pPr>
              <w:spacing w:after="0"/>
              <w:rPr>
                <w:sz w:val="1"/>
                <w:szCs w:val="1"/>
                <w:color w:val="auto"/>
              </w:rPr>
            </w:pPr>
          </w:p>
        </w:tc>
      </w:tr>
      <w:tr>
        <w:trPr>
          <w:trHeight w:val="209"/>
        </w:trPr>
        <w:tc>
          <w:tcPr>
            <w:tcW w:w="6680" w:type="dxa"/>
            <w:vAlign w:val="bottom"/>
          </w:tcPr>
          <w:p>
            <w:pPr>
              <w:ind w:left="680"/>
              <w:spacing w:after="0"/>
              <w:rPr>
                <w:sz w:val="20"/>
                <w:szCs w:val="20"/>
                <w:color w:val="auto"/>
              </w:rPr>
            </w:pPr>
            <w:r>
              <w:rPr>
                <w:rFonts w:ascii="Arial" w:cs="Arial" w:eastAsia="Arial" w:hAnsi="Arial"/>
                <w:sz w:val="16"/>
                <w:szCs w:val="16"/>
                <w:color w:val="auto"/>
              </w:rPr>
              <w:t>date vested</w:t>
            </w:r>
          </w:p>
        </w:tc>
        <w:tc>
          <w:tcPr>
            <w:tcW w:w="5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Dividends declared</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7,925</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7,904</w:t>
            </w:r>
          </w:p>
        </w:tc>
        <w:tc>
          <w:tcPr>
            <w:tcW w:w="5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7,498</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PROGRESS SOFTWARE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Progress Software Corporation ("Progress," the "Company," "we," "us," or "our") provides the best products to develop, deploy and manage high-impact applications. Our comprehensive product stack is designed to make technology teams more productive and we have a deep commitment to the developer community, both open source and commercial alike. With Progress, organizations can accelerate the creation and delivery of strategic business applications, automate the process by which applications are configured, deployed and scaled, and make critical data and content more accessible and secure — leading to competitive differentiation and business success. Hundreds of thousands of enterprises, plus approximately 1,700 software companies and 3.5 million developers, depend on Progress to achieve their business goals.</w:t>
      </w:r>
    </w:p>
    <w:p>
      <w:pPr>
        <w:spacing w:after="0" w:line="189"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Our products are generally sold as perpetual licenses, but certain products also use term licensing models and our cloud-based offerings use a subscription-based model. More than half of our worldwide license revenue is realized through relationships with indirect channel partners, principally independent software vendors (“ISVs”), original equipment manufacturers ("OEMs"), distributors and value-added resellers. ISVs develop and market applications using our technology and resell our products in conjunction with sales of their own products that incorporate our technology. OEMs are companies that embed our products into their own software products or devices. Value-added resellers are companies that add features or services to our product, then resell it as an integrated product or complete "turn-key" solution.</w:t>
      </w:r>
    </w:p>
    <w:p>
      <w:pPr>
        <w:spacing w:after="0" w:line="2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operate in North America and Latin America (the "Americas"); Europe, the Middle East and Africa ("EMEA"); and the Asia Pacific region, through local subsidiaries as well as independent distributors.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prepare our consolidated financial statements and accompanying notes in conformity with accounting principles generally accepted in the United States of America ("GAAP").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subsidiaries (all of which are wholly owned). We eliminate all intercompany balances and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preparation of consolidated financial statements requires management to make estimates and assumptions that affect the amounts reported in the financial statements and accompanying notes. On an on-going basis, management evaluates its estimates and records changes in estimates in the period in which they become known. These estimates are based on historical data and experience, as well as various other assumptions that management believes to be reasonable under the circumstances. The most significant estimates relate to: the timing and amount of revenue recognition, including the determination of the nature and timing of the satisfaction of performance obligations, the standalone selling price of performance obligations, and the transaction price allocated to performance obligations; the realization of tax assets and estimates of tax liabilities; fair values of investments in marketable securities; assets held for sale; intangible assets and goodwill valuations; the recognition and disclosure of contingent liabilities; the collectability of accounts receivable; and assumptions used to determine the fair value of stock-based compensation.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functional currency of most of our foreign subsidiaries is the local currency in which the subsidiary operates. For foreign operations where the local currency is considered to be the functional currency, we translate assets and liabilities into U.S. dollars at the exchange rate on the balance sheet date. We translate income and expense items at average rates of exchange prevailing during each period. We accumulate translation adjustments in accumulated other comprehensive loss, a component of stockholders’ equity.</w:t>
      </w: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 foreign operations where the U.S. dollar is considered to be the functional currency, we remeasure monetary assets and liabilities into U.S. dollars at the exchange rate on the balance sheet date and non-monetary assets and liabilities are remeasured into U.S. dollars at historical exchange rates. We translate income and expense items at average rates of exchange prevailing during each period. We recognize remeasurement adjustments currently as a component of foreign currency loss, net in the statements of operations.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6" w:name="page47"/>
    <w:bookmarkEnd w:id="46"/>
    <w:p>
      <w:pPr>
        <w:ind w:right="440"/>
        <w:spacing w:after="0" w:line="277" w:lineRule="auto"/>
        <w:rPr>
          <w:sz w:val="20"/>
          <w:szCs w:val="20"/>
          <w:color w:val="auto"/>
        </w:rPr>
      </w:pPr>
      <w:r>
        <w:rPr>
          <w:rFonts w:ascii="Arial" w:cs="Arial" w:eastAsia="Arial" w:hAnsi="Arial"/>
          <w:sz w:val="18"/>
          <w:szCs w:val="18"/>
          <w:color w:val="auto"/>
        </w:rPr>
        <w:t>Transaction gains or losses that arise from exchange rate fluctuations on transactions denominated in a currency other than the functional currency are included in foreign currency loss, net in the statements of operations as incurred.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Investments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equivalents include short-term, highly liquid investments purchased with remaining maturities of three months or less. As of November 30, 2021, all of our cash equivalents were invested in money market funds.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classify investments, state and municipal bond obligations, U.S. treasury and government agency bonds, and corporate bonds and notes, as investments available-for-sale, which are stated at fair value. We include aggregate unrealized holding gains and losses, net of taxes, on available-for-sale securities as a component of accumulated other comprehensive loss in stockholders’ equity. We include realized gains and losses in interest income and other, net on the consolidated statements of operations.</w:t>
      </w:r>
    </w:p>
    <w:p>
      <w:pPr>
        <w:spacing w:after="0" w:line="21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monitor our investment portfolio for impairment on a periodic basis. Fair value is calculated based on publicly available market information.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(expense) income, net and a new cost basis in the investment is established. If market, industry, and/or investee conditions deteriorate, we may incur future impairments.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Sales Credit Memos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customers to make required payments. We establish this allowance using estimates that we make based on factors such as the composition of the accounts receivable aging, historical bad debts, changes in payment patterns, changes to customer creditworthiness and current economic trends.</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also record an allowance for estimates of potential sales credit memos. This allowance is determined based on an analysis of historical credit memos issued and current economic trends, and is recorded as a reduction of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allowance for doubtful accounts is as follows (in thousands):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260"/>
              <w:spacing w:after="0" w:line="189" w:lineRule="exact"/>
              <w:rPr>
                <w:sz w:val="20"/>
                <w:szCs w:val="20"/>
                <w:color w:val="auto"/>
              </w:rPr>
            </w:pPr>
            <w:r>
              <w:rPr>
                <w:rFonts w:ascii="Arial" w:cs="Arial" w:eastAsia="Arial" w:hAnsi="Arial"/>
                <w:sz w:val="18"/>
                <w:szCs w:val="18"/>
                <w:color w:val="auto"/>
                <w:w w:val="90"/>
              </w:rPr>
              <w:t>November 30,</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240"/>
              <w:spacing w:after="0" w:line="189" w:lineRule="exact"/>
              <w:rPr>
                <w:sz w:val="20"/>
                <w:szCs w:val="20"/>
                <w:color w:val="auto"/>
              </w:rPr>
            </w:pPr>
            <w:r>
              <w:rPr>
                <w:rFonts w:ascii="Arial" w:cs="Arial" w:eastAsia="Arial" w:hAnsi="Arial"/>
                <w:sz w:val="18"/>
                <w:szCs w:val="18"/>
                <w:color w:val="auto"/>
                <w:w w:val="90"/>
              </w:rPr>
              <w:t>November 30,</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50"/>
              <w:spacing w:after="0" w:line="189" w:lineRule="exact"/>
              <w:rPr>
                <w:sz w:val="20"/>
                <w:szCs w:val="20"/>
                <w:color w:val="auto"/>
              </w:rPr>
            </w:pPr>
            <w:r>
              <w:rPr>
                <w:rFonts w:ascii="Arial" w:cs="Arial" w:eastAsia="Arial" w:hAnsi="Arial"/>
                <w:sz w:val="18"/>
                <w:szCs w:val="18"/>
                <w:color w:val="auto"/>
                <w:w w:val="90"/>
              </w:rPr>
              <w:t>November 30,</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Charge to costs and expenses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and other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adjustments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6"/>
              </w:rPr>
              <w:t>A summary of activity in the allowance for sales credit memos is as follows (in thousands):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0"/>
              </w:rPr>
              <w:t>November 30,</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line="169" w:lineRule="exact"/>
              <w:rPr>
                <w:sz w:val="20"/>
                <w:szCs w:val="20"/>
                <w:color w:val="auto"/>
              </w:rPr>
            </w:pPr>
            <w:r>
              <w:rPr>
                <w:rFonts w:ascii="Arial" w:cs="Arial" w:eastAsia="Arial" w:hAnsi="Arial"/>
                <w:sz w:val="18"/>
                <w:szCs w:val="18"/>
                <w:color w:val="auto"/>
                <w:w w:val="90"/>
              </w:rPr>
              <w:t>November 30,</w:t>
            </w:r>
          </w:p>
        </w:tc>
        <w:tc>
          <w:tcPr>
            <w:tcW w:w="14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90"/>
              </w:rPr>
              <w:t>November 30,</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(Credit) charge to revenue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and other</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adjustments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financial instruments that potentially subject us to concentrations of credit risk consist primarily of cash and cash equivalents, investments, derivative instruments and trade receivables. We have cash investment policies which, among other things, limit investments to investment-grade securities. We hold our cash and cash equivalents, investments and derivative instrument contracts with high quality financial institutions and we monitor the credit ratings of those institutions. We perform ongoing credit evaluations of our customers, and the risk with respect to trade receivables is further mitigated by the diversity, both by geography and by industry, of the customer base. No single customer represented more than 10% of consolidated accounts receivable or revenue in fiscal years 2021, 2020 or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carrying amount of our cash and cash equivalents, accounts receivable, accounts payable and long-term debt approximates fair value due to the short-term nature or market interest rates of these items. We base the fair value of short-term investments on quoted market prices or other relevant information generated by market transactions involving identical or comparable assets. We measure and record derivative financial instruments at fair value. See Note 4: Fair Value Measurements for further discussion of financial instruments that are carried at fair value on a recurring and nonrecurring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 all derivatives on the consolidated balance sheets at fair value. We use derivative instruments to manage exposures to fluctuations in the value of foreign currencies, which exist as part of our ongoing business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w:t>
      </w:r>
    </w:p>
    <w:p>
      <w:pPr>
        <w:spacing w:after="0" w:line="25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entered into an interest rate swap contract in July 2019 to manage the variability of cash flows associated with approximately one-half of our variable rate debt. We have designated the interest rate swap as a cash flow hedge and we assessed the hedge's effectiveness both at the onset of the hedge and at regular intervals throughout the life of the derivative. To the extent that the interest rate swap is highly effective in offsetting the variability of the hedged cash flows, changes in the fair value of the derivative are included as a component of other comprehensive loss on our consolidated balance sheets. Although we determined at the onset of the hedge that the interest rate swap will be a highly effective hedge throughout the term of the contract, any portion of the fair value swap subsequently determined to be ineffective will be recognized in earnings.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Contracts</w:t>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assets and forecasted transactions are exposed to foreign currency risk. Our objective for holding derivatives is to eliminate or reduce the impact of these exposures. We periodically monitor our foreign currency exposures to enhance the overall economic effectiveness of our foreign currency hedge positions. Principal currencies hedged include the euro, British pound, Brazilian real, Indian rupee, and Australian dollar. We do not enter into derivative instruments for speculative purposes, nor do we hold or issue any derivative instruments for trading purposes.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enter into certain derivative instruments that do not qualify for hedge accounting and are not designated as hedges. Although these derivatives do not qualify for hedge accounting, we believe that such instruments are closely correlated with the underlying exposure, thus managing the associated risk. The gains or losses from changes in the fair value of such derivative instruments that are not accounted for as hedges are recognized in earnings in foreign currency loss,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Inventories consist of hardware and related component parts and are recorded at the lower of cost, as determined by the first-in, first-out method, or net realizable value. The Company reduces inventory to net realizable value based on excess and obsolete inventories determined primarily by historical usage and forecasted demand. If our review indicates a reduction in utility below carrying value, we reduce our inventory to a new cost basis through a charge to costs of revenue. At November 30, 2021, the Company had no reserve for excess and obsolete inventories.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record property and equipment at cost. We record property and equipment purchased in business combinations at fair value, which is then treated as the cost. Depreciation and amortization are computed using the straight-line method over the estimated useful lives of the related assets. Leasehold improvements are amortized on a straight-line basis over the shorter of the lease term or the useful lives of the assets. Useful lives by major asset class are as follows: computer equipment and software, 3 to 7 years; buildings and improvements, 5 to 39 years; and furniture and fixtures, 5 to 7 years. Repairs and maintenance costs are expensed as incurred.</w:t>
      </w:r>
    </w:p>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Property and equipment is classified as held for sale when it meets the held for sale criteria of Accounting Standards Codification Topic 360, </w:t>
      </w:r>
      <w:r>
        <w:rPr>
          <w:rFonts w:ascii="Arial" w:cs="Arial" w:eastAsia="Arial" w:hAnsi="Arial"/>
          <w:sz w:val="17"/>
          <w:szCs w:val="17"/>
          <w:i w:val="1"/>
          <w:iCs w:val="1"/>
          <w:color w:val="auto"/>
        </w:rPr>
        <w:t>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Plant, and Equipment </w:t>
      </w:r>
      <w:r>
        <w:rPr>
          <w:rFonts w:ascii="Arial" w:cs="Arial" w:eastAsia="Arial" w:hAnsi="Arial"/>
          <w:sz w:val="17"/>
          <w:szCs w:val="17"/>
          <w:color w:val="auto"/>
        </w:rPr>
        <w:t>and is measured at the lower of the carrying value or the fair value less cost to sell. Losses resulting from this measurement are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the period in which the held for sale criteria are met while gains are not recognized until the date of sale. Once designated as held for sale, we stop recording depreciation expense on the asset. We assess the fair value less cost to sell of long-lived assets held for sale at each reporting period until it no longer meets this classification. In the fourth quarter of fiscal year 2021, we reclassified certain corporate land and building assets previously reported as property and equipment to assets held for sale on our consolidated balance sheet as we began an active program to sell and expect to sell these assets within one year. If the assets held for sale were carried at fair value, it would be considered a Level 3 fair value measurement, and determined based on the use of appraisals and input from market participants. As we determined that fair value was significantly above carrying value as of November 30, 2021, we have continued to record the assets held for sale at their carrying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Internal Use Software</w:t>
      </w:r>
    </w:p>
    <w:p>
      <w:pPr>
        <w:spacing w:after="0" w:line="18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Expenditures for product development, other than internal use software costs, are expensed as incurred. Product development expenses primarily consist of personnel and related expenses for our product development staff, the cost of various third-party contractor fees, and allocated overhead expenses.</w:t>
      </w:r>
    </w:p>
    <w:p>
      <w:pPr>
        <w:spacing w:after="0" w:line="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Software development costs associated with internal use software are incurred in three stages of development: the preliminary project stage, the application development stage, and the post-implementation stage. Costs incurred during the preliminary project and post-implementation stages are expensed as incurred. Certain internal and external qualifying costs incurred during the application development stage are capitalized as property and equipment. Internal use software is amortized on a straight-line basis over its estimated useful life of three years, beginning when the software is ready for its intended use.</w:t>
      </w:r>
    </w:p>
    <w:p>
      <w:pPr>
        <w:spacing w:after="0" w:line="14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fiscal years ended November 30, 2021, 2020, and 2019, there were no internal use software development costs capitalized. We did not incur any amortization expense related to internal use software development costs during the fiscal years ended November 30, 2021 and 2020 as these costs were fully amortized as of November 30,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Goodwill is the amount by which the cost of acquired net assets in a business combination exceeded the fair value of net identifiable assets on the date of purchase. The Company has a single reporting unit. We evaluate goodwill and other intangible assets with indefinite useful lives, if any, for impairment annually or on an interim basis when events and circumstances arise that indicate impairment may have occurred.</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performed a quantitative assessment as of October 31, 2021 and concluded that there was no impairment since it was not more likely than not that the fair value of its reporting unit was less than its carrying value. We estimated the fair value of our reporting unit based on our market capitalization. In performing our annual assessment as of October 31, 2020 and 2019, we first performed a qualitative test and if necessary, performed a quantitative test. To conduct the quantitative impairment test of goodwill, we compared the fair value of a reporting unit to its carrying value. We estimated the fair values of our reporting units using discounted cash flow models or other valuation models, such as comparative transactions and market multiples. We did not recognize any goodwill impairment charges during fiscal years 2020 or 2019.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Intangible Assets and Long-Lived Assets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Intangible assets are comprised of purchased technology, customer-related assets, and trademarks and trade names acquired through business combinations. All of our intangible assets are amortized using the straight-line method over their estimated useful life. Refer to Note 8: Business Combinations for further information.</w:t>
      </w:r>
    </w:p>
    <w:p>
      <w:pPr>
        <w:spacing w:after="0" w:line="2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periodically review long-lived assets (primarily property and equipment) and intangible assets with finite lives for impairment whenever events or changes in business circumstances indicate that the carrying amount of the assets may not be fully recoverable or that the useful lives of those assets are no longer appropriate. We base each impairment test on a comparison of the undiscounted cash flows to the carrying value of the asset or asset group. If impairment is indicated, we write down the asset to its estimated fair value based on a discounted cash flow analysis.</w:t>
      </w:r>
    </w:p>
    <w:p>
      <w:pPr>
        <w:spacing w:after="0" w:line="18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We did not recognize any intangible asset impairment charges during fiscal years 2021 and 2020. During fiscal year 2019, we incurred an impairment charge of $22.7 million as a result of our decision to reduce our current and ongoing spending levels within our cognitive application product lines, which consisted primarily of our DataRPM and Kinvey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Income</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components of comprehensive loss include, in addition to net income, foreign currency translation adjustments and unrealized gains and losses on investments and hedging activity.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by components, net of tax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Foreign Currency</w:t>
            </w:r>
          </w:p>
        </w:tc>
        <w:tc>
          <w:tcPr>
            <w:tcW w:w="1720" w:type="dxa"/>
            <w:vAlign w:val="bottom"/>
            <w:gridSpan w:val="3"/>
            <w:vMerge w:val="restart"/>
          </w:tcPr>
          <w:p>
            <w:pPr>
              <w:ind w:left="80"/>
              <w:spacing w:after="0"/>
              <w:rPr>
                <w:sz w:val="20"/>
                <w:szCs w:val="20"/>
                <w:color w:val="auto"/>
              </w:rPr>
            </w:pPr>
            <w:r>
              <w:rPr>
                <w:rFonts w:ascii="Arial" w:cs="Arial" w:eastAsia="Arial" w:hAnsi="Arial"/>
                <w:sz w:val="18"/>
                <w:szCs w:val="18"/>
                <w:color w:val="auto"/>
              </w:rPr>
              <w:t>Unrealized (Losses)</w:t>
            </w:r>
          </w:p>
        </w:tc>
        <w:tc>
          <w:tcPr>
            <w:tcW w:w="1720" w:type="dxa"/>
            <w:vAlign w:val="bottom"/>
            <w:gridSpan w:val="3"/>
            <w:vMerge w:val="restart"/>
          </w:tcPr>
          <w:p>
            <w:pPr>
              <w:ind w:left="20"/>
              <w:spacing w:after="0"/>
              <w:rPr>
                <w:sz w:val="20"/>
                <w:szCs w:val="20"/>
                <w:color w:val="auto"/>
              </w:rPr>
            </w:pPr>
            <w:r>
              <w:rPr>
                <w:rFonts w:ascii="Arial" w:cs="Arial" w:eastAsia="Arial" w:hAnsi="Arial"/>
                <w:sz w:val="18"/>
                <w:szCs w:val="18"/>
                <w:color w:val="auto"/>
                <w:w w:val="97"/>
              </w:rPr>
              <w:t>Unrealized Losses on</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9"/>
              </w:rPr>
              <w:t>Translation</w:t>
            </w:r>
          </w:p>
        </w:tc>
        <w:tc>
          <w:tcPr>
            <w:tcW w:w="1720" w:type="dxa"/>
            <w:vAlign w:val="bottom"/>
            <w:gridSpan w:val="3"/>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Adjustment</w:t>
            </w:r>
          </w:p>
        </w:tc>
        <w:tc>
          <w:tcPr>
            <w:tcW w:w="1720" w:type="dxa"/>
            <w:vAlign w:val="bottom"/>
            <w:gridSpan w:val="3"/>
          </w:tcPr>
          <w:p>
            <w:pPr>
              <w:ind w:left="20"/>
              <w:spacing w:after="0"/>
              <w:rPr>
                <w:sz w:val="20"/>
                <w:szCs w:val="20"/>
                <w:color w:val="auto"/>
              </w:rPr>
            </w:pPr>
            <w:r>
              <w:rPr>
                <w:rFonts w:ascii="Arial" w:cs="Arial" w:eastAsia="Arial" w:hAnsi="Arial"/>
                <w:sz w:val="18"/>
                <w:szCs w:val="18"/>
                <w:color w:val="auto"/>
                <w:w w:val="96"/>
              </w:rPr>
              <w:t>Gains on Investments</w:t>
            </w:r>
          </w:p>
        </w:tc>
        <w:tc>
          <w:tcPr>
            <w:tcW w:w="14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Hedging Activity</w:t>
            </w: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(28,393)</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3"/>
              </w:rPr>
              <w:t>(30)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1"/>
              </w:rPr>
              <w:t>(1,551)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(29,974)</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w w:val="91"/>
              </w:rPr>
              <w:t>(3,625)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1"/>
              </w:rPr>
              <w:t>(5,176)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(32,778)</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3"/>
              </w:rPr>
              <w:t>(63)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93"/>
              </w:rPr>
              <w:t>2,837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November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3"/>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1"/>
              </w:rPr>
              <w:t>(2,339)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tax effect on accumulated unrealized losses on hedging activity and unrealized (losses) gains on investments was $0.7 million, $1.6 million and $0.4 million as of November 30, 2021, November 30, 2020, and November 30, 2019,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Policy</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derive our revenue primarily from software licenses and maintenance and services. Our license arrangements generally contain multiple performance obligations, including software maintenance services. Revenue is recognized when a customer obtains control of promised goods or services in an amount that reflects the consideration that we expect to receive in exchange for those goods or services. When an arrangement contains multiple performance obligations, we account for individual performance obligations separately if they are distinct. We recognize revenue through the application of the following steps: (i) identification of the contract(s) with a customer; (ii) identification of the performance obligations in the contract; (iii) determination of the transaction price; (iv) allocation of the transaction price to performance obligations in the contract; and (v) recognition of revenue when or as we satisfy the performance obligations. Sales taxes collected from customers and remitted to government authorities are excluded from revenue and we do not license our software with a right of return.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Licenses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Software licenses are on-premise and fully functional when made available to the customer. As the customer can use and benefit from the license on its own, on-premise software licenses represent distinct performance obligations. Revenue is recognized upfront at the point in time when control is transferred, which is defined as the point in time when the client can use and benefit from the license. Our licenses are sold as perpetual or term licenses, and the arrangements typically contain various combinations of maintenance and services, which are generally accounted for as separate performance obligations. We use the residual approach to allocate the transaction price to our software license performance obligations because, due to the pricing of our licenses being highly variable, they do not have an observable stand-alone selling price ("SSP"). As required, we evaluate the residual approach estimate compared to all available observable data in order to conclude the estimate is representative of its SSP.</w:t>
      </w:r>
    </w:p>
    <w:p>
      <w:pPr>
        <w:sectPr>
          <w:pgSz w:w="11900" w:h="16838" w:orient="portrait"/>
          <w:cols w:equalWidth="0" w:num="1">
            <w:col w:w="11240"/>
          </w:cols>
          <w:pgMar w:left="320" w:top="773"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0" w:name="page51"/>
    <w:bookmarkEnd w:id="50"/>
    <w:p>
      <w:pPr>
        <w:ind w:right="60"/>
        <w:spacing w:after="0" w:line="259" w:lineRule="auto"/>
        <w:rPr>
          <w:sz w:val="20"/>
          <w:szCs w:val="20"/>
          <w:color w:val="auto"/>
        </w:rPr>
      </w:pPr>
      <w:r>
        <w:rPr>
          <w:rFonts w:ascii="Arial" w:cs="Arial" w:eastAsia="Arial" w:hAnsi="Arial"/>
          <w:sz w:val="18"/>
          <w:szCs w:val="18"/>
          <w:color w:val="auto"/>
        </w:rPr>
        <w:t>Perpetual licenses are generally invoiced upon execution of the contract and payable within 30 days. Term licenses are generally invoiced in advance on an annual basis over the term of the arrangement, which is typically one to three years. Any difference between the revenue recognized and the amount invoiced to the customer is recognized on our consolidated balance sheets as unbilled receivables until the customer is invoiced, at which point the amount is reclassified to accounts receivable.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Maintenance revenue is made up of technical support, bug fixes, and when-and-if available unspecified software upgrades. As these maintenance services are considered to be a series of distinct services that are substantially the same and have the same duration and measure of progress, we have concluded that they represent one combined performance obligation. Revenue is recognized ratably over the contract period. The SSP of maintenance services is a percentage of the net selling price of the related software license, which has remained within a tight range and is consistent with the stand-alone pricing of subsequent maintenance renewals.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Maintenance services are generally invoiced in advance on an annual basis over the term of the arrangement, which is typically one to three years.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Services revenue primarily includes consulting and customer education services. In general, services are distinct performance obligations. Services revenue is generally recognized as the services are delivered to the customer. We apply the practical expedient of recognizing revenue upon invoicing for time and materials-based arrangements as the invoiced amount corresponds to the value of the services provided. The SSP of services is based upon observable prices in similar transactions using the hourly rates sold in stand-alone services transactions. Services are either sold on a time and materials basis or prepaid upfront.</w:t>
      </w:r>
    </w:p>
    <w:p>
      <w:pPr>
        <w:spacing w:after="0" w:line="21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also offer products via a software-as-a-service ("SaaS") model, which is a subscription-based model. Our customers can use hosted software over the contract period without taking possession of it and the cloud services are available to them throughout the entire term, even if they do not use the service. Revenue related to SaaS offerings is recognized ratably over the contract period. The SSP of SaaS performance obligations is determined based upon observable prices in stand-alone SaaS transactions. SaaS arrangements are generally invoiced in advance on a monthly, quarterly, or annual basis over the term of the arrangement, which is typically one to three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25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When an arrangement contains multiple performance obligations, we account for individual performance obligations separately if they are distinct. We allocate the transaction price to each performance obligation in a contract based on its relative SSP. Although we do not have a history of offering these elements, prior to allocating the transaction price to each performance obligation, we consider whether the arrangement has any discounts, material rights, or specified future upgrades that may represent additional performance obligations. Determining whether products and services are distinct performance obligations and the determination of the SSP may require significant judgment.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Advertising costs are expensed as incurred and were $0.9 million, $0.5 million, and $0.8 million in fiscal years 2021, 2020, and 2019,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make periodic provisions for expected warranty costs. Historically, warranty costs have been insignificant.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Stock-based compensation expense reflects the fair value of stock-based awards, less the present value of expected dividends when applicable, measured at the grant date and recognized over the relevant service period. We estimate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awards, a risk-free interest rate and dividend yield. We recognize stock-based compensation expense related to options and restricted stock units on a straight-line basis over the service period of the award, which is generally 4 or 5 years for options and 3 or 4 years for restricted stock units, and adjust the expense each period for actual forfeitures. We recognize stock-based compensation expense related to performance stock units and our employee stock purchase plan using an accelerated attribution method.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Acquisition-Related Costs</w:t>
      </w:r>
    </w:p>
    <w:p>
      <w:pPr>
        <w:spacing w:after="0" w:line="25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Acquisition-related costs are expensed as incurred and include those costs incurred as a result of a business combination. These costs primarily consist of professional services fees, including third-party legal and valuation-related fees, as well as retention fees and earn-out payments treated as compensation expense. We incurred $4.1 million, $3.6 million, and $1.7 million of acquisition-related costs, which are included in acquisition-related expenses in our consolidated statement of operations, for the fiscal years ended November 30, 2021, November 30, 2020, and November 30,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restructuring charges are comprised primarily of costs related to property abandonment, including future lease commitments, net of any sublease income, and associated leasehold improvements; and employee termination costs related to headcount reductions. We recognize and measure restructuring liabilities initially at fair value when the liability is incurred. We incurred $6.3 million, $5.9 million, and $6.3 million of restructuring related costs, which are included in restructuring expenses in our consolidated statement of operations, for the fiscal years ended November 30, 2021, November 30, 2020, and November 30, 2019,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provide for deferred income taxes resulting from temporary differences between financial and taxable income. We record valuation allowances to reduce deferred tax assets to the amount that is more likely than not to be realized.</w:t>
      </w:r>
    </w:p>
    <w:p>
      <w:pPr>
        <w:spacing w:after="0" w:line="19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recognize and measure uncertain tax positions taken or expected to be taken in a tax return utilizing a two-step approach. We first determine if the weight of available evidence indicates that it is more likely than not that the tax position will be sustained on audit, including resolution of any related appeals or litigation processes. The second step is that we measure the tax benefit as the largest amount that is more likely than not to be realized upon ultimate settlement. We recognize interest and penalties related to uncertain tax positions in our provision for income taxes on our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October 2021, the Financial Accounting Standards Board (“FASB”) issued Accounting Standards Update No. 2021-08, </w:t>
      </w:r>
      <w:r>
        <w:rPr>
          <w:rFonts w:ascii="Arial" w:cs="Arial" w:eastAsia="Arial" w:hAnsi="Arial"/>
          <w:sz w:val="17"/>
          <w:szCs w:val="17"/>
          <w:i w:val="1"/>
          <w:iCs w:val="1"/>
          <w:color w:val="auto"/>
        </w:rPr>
        <w:t>Business Combinations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805): Accounting for Contract Assets and Contract Liabilities from Contracts with Customers </w:t>
      </w:r>
      <w:r>
        <w:rPr>
          <w:rFonts w:ascii="Arial" w:cs="Arial" w:eastAsia="Arial" w:hAnsi="Arial"/>
          <w:sz w:val="17"/>
          <w:szCs w:val="17"/>
          <w:color w:val="auto"/>
        </w:rPr>
        <w:t>("ASU 2021-08"), which improves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revenue contracts with customers in a business combination by addressing inconsistency in practice related to (1) the recognition of an acquired contract liability; and (2) payment terms and their effect on subsequent revenue recognized by the acquirer. The amendments in this update require an entity (acquirer) to recognize and measure contract assets and contract liabilities acquired in a business combination in accordance with Topic 606. The guidance in ASU 2021-08 is effective for fiscal years beginning after December 15, 2022, including interim periods within those fiscal years, with early adoption permitted. We adopted this standard at the beginning of the fourth quarter of fiscal year 2021. Upon adoption, this update did not have a material effect on our consolidated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June 2016, the FASB issued Accounting Standards Update No. 2016-13, </w:t>
      </w:r>
      <w:r>
        <w:rPr>
          <w:rFonts w:ascii="Arial" w:cs="Arial" w:eastAsia="Arial" w:hAnsi="Arial"/>
          <w:sz w:val="16"/>
          <w:szCs w:val="16"/>
          <w:i w:val="1"/>
          <w:iCs w:val="1"/>
          <w:color w:val="auto"/>
        </w:rPr>
        <w:t>Financial Instruments - Credit Losses (Topic 326):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on Financial Instruments </w:t>
      </w:r>
      <w:r>
        <w:rPr>
          <w:rFonts w:ascii="Arial" w:cs="Arial" w:eastAsia="Arial" w:hAnsi="Arial"/>
          <w:sz w:val="16"/>
          <w:szCs w:val="16"/>
          <w:color w:val="auto"/>
        </w:rPr>
        <w:t>("ASU 2016-13"), which requires measurement and recognition of expected credit losses for financial assets measured at</w:t>
      </w:r>
      <w:r>
        <w:rPr>
          <w:rFonts w:ascii="Arial" w:cs="Arial" w:eastAsia="Arial" w:hAnsi="Arial"/>
          <w:sz w:val="16"/>
          <w:szCs w:val="16"/>
          <w:i w:val="1"/>
          <w:iCs w:val="1"/>
          <w:color w:val="auto"/>
        </w:rPr>
        <w:t xml:space="preserve"> </w:t>
      </w:r>
      <w:r>
        <w:rPr>
          <w:rFonts w:ascii="Arial" w:cs="Arial" w:eastAsia="Arial" w:hAnsi="Arial"/>
          <w:sz w:val="16"/>
          <w:szCs w:val="16"/>
          <w:color w:val="auto"/>
        </w:rPr>
        <w:t>amortized cost, including accounts receivable, upon initial recognition of that financial asset using a forward looking expected loss model, rather than an incurred loss model. Credit losses relating to available-for-sale debt securities should be recorded through an allowance for credit losses when the fair value is below the amortized cost of the asset, removing the concept of "other-than-temporary" impairments. The Company adopted this standard effective December 1, 2020. The adoption of this standard did not have a material effect on the Company’s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August 2020, the FASB issued Accounting Standards Update No. 2020-06, </w:t>
      </w:r>
      <w:r>
        <w:rPr>
          <w:rFonts w:ascii="Arial" w:cs="Arial" w:eastAsia="Arial" w:hAnsi="Arial"/>
          <w:sz w:val="16"/>
          <w:szCs w:val="16"/>
          <w:i w:val="1"/>
          <w:iCs w:val="1"/>
          <w:color w:val="auto"/>
        </w:rPr>
        <w:t>Accounting for Convertible Instruments and Contracts in an Entity’s Own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w:t>
      </w:r>
      <w:r>
        <w:rPr>
          <w:rFonts w:ascii="Arial" w:cs="Arial" w:eastAsia="Arial" w:hAnsi="Arial"/>
          <w:sz w:val="16"/>
          <w:szCs w:val="16"/>
          <w:color w:val="auto"/>
        </w:rPr>
        <w:t>("ASU 2020-06"), which simplifies the accounting for certain financial instruments with characteristics of liabilities and equity,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convertible instruments and contracts in an entity’s own equity. The standard eliminates the liability and equity separation model for convertible instruments with a cash conversion feature. As a result, after adoption, entities will no longer separately present in equity an embedded conversion feature for such debt. Additionally, the embedded conversion feature will no longer be amortized into income as interest expense over the instrument’s life. Instead, entities will account for a convertible debt instrument wholly as debt unless (1) a convertible instrument contains features that require bifurcation as a derivative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or (2) a convertible debt instrument was issued at a substantial premium. Additionally, the standard requires applying the if-converted method to calculate convertible instruments’ impact on diluted earnings per share (“EPS”). The standard is effective for fiscal years beginning after December 15, 2021, with early adoption permitted for fiscal years beginning after December 15, 2020. It can be adopted on either a full retrospective or modified retrospective basis. We plan to early adopt the new standard in the first quarter of fiscal year 2022 in accordance with the modified retrospective approach. Upon adoption, we expect to record a $47.5 million decrease to additional paid-in capital, a $56.0 million decrease to debt discount, a $4.9 million increase to retained earnings, and a $13.4 million decrease to long-term deferred tax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December 2019, the FASB issued Accounting Standards Update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ASU 2019-12 updates specific areas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to reduce complexity while maintaining or improving the usefulness of the information provided to users of financial statements. The new standard will be effective for us in the first quarter of fiscal year 2022. We do not expect this update to have a material effect on our consolidated financial position and results of operations.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cash equivalents and available-for-sale investments at November 30, 2021 is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Amortized Cost</w:t>
            </w:r>
          </w:p>
        </w:tc>
        <w:tc>
          <w:tcPr>
            <w:tcW w:w="1080" w:type="dxa"/>
            <w:vAlign w:val="bottom"/>
          </w:tcPr>
          <w:p>
            <w:pPr>
              <w:jc w:val="right"/>
              <w:spacing w:after="0"/>
              <w:rPr>
                <w:sz w:val="20"/>
                <w:szCs w:val="20"/>
                <w:color w:val="auto"/>
              </w:rPr>
            </w:pPr>
            <w:r>
              <w:rPr>
                <w:rFonts w:ascii="Arial" w:cs="Arial" w:eastAsia="Arial" w:hAnsi="Arial"/>
                <w:sz w:val="18"/>
                <w:szCs w:val="18"/>
                <w:color w:val="auto"/>
              </w:rPr>
              <w:t>Unrealized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Unrealized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restart"/>
          </w:tcPr>
          <w:p>
            <w:pPr>
              <w:jc w:val="right"/>
              <w:ind w:right="21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9"/>
        </w:trPr>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Basis</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Gains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Losses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130,371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130,371</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25,035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0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25,035</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bonds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157,373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A summary of our cash, cash equivalents and available-for-sale investments at November 30, 2020 is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Amortized Cost</w:t>
            </w:r>
          </w:p>
        </w:tc>
        <w:tc>
          <w:tcPr>
            <w:tcW w:w="1080" w:type="dxa"/>
            <w:vAlign w:val="bottom"/>
          </w:tcPr>
          <w:p>
            <w:pPr>
              <w:jc w:val="right"/>
              <w:spacing w:after="0"/>
              <w:rPr>
                <w:sz w:val="20"/>
                <w:szCs w:val="20"/>
                <w:color w:val="auto"/>
              </w:rPr>
            </w:pPr>
            <w:r>
              <w:rPr>
                <w:rFonts w:ascii="Arial" w:cs="Arial" w:eastAsia="Arial" w:hAnsi="Arial"/>
                <w:sz w:val="18"/>
                <w:szCs w:val="18"/>
                <w:color w:val="auto"/>
              </w:rPr>
              <w:t>Unrealized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Unrealized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restart"/>
          </w:tcPr>
          <w:p>
            <w:pPr>
              <w:jc w:val="right"/>
              <w:ind w:right="21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Basis</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Gains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Losses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79,026</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79,026</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18,964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18,964</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bonds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105,995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Such amounts are classified on our consolidated balance sheets as follows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ind w:left="520"/>
              <w:spacing w:after="0"/>
              <w:rPr>
                <w:sz w:val="20"/>
                <w:szCs w:val="20"/>
                <w:color w:val="auto"/>
              </w:rPr>
            </w:pPr>
            <w:r>
              <w:rPr>
                <w:rFonts w:ascii="Arial" w:cs="Arial" w:eastAsia="Arial" w:hAnsi="Arial"/>
                <w:sz w:val="18"/>
                <w:szCs w:val="18"/>
                <w:color w:val="auto"/>
              </w:rPr>
              <w:t>November 30, 2021</w:t>
            </w:r>
          </w:p>
        </w:tc>
        <w:tc>
          <w:tcPr>
            <w:tcW w:w="140" w:type="dxa"/>
            <w:vAlign w:val="bottom"/>
          </w:tcPr>
          <w:p>
            <w:pPr>
              <w:spacing w:after="0"/>
              <w:rPr>
                <w:sz w:val="20"/>
                <w:szCs w:val="20"/>
                <w:color w:val="auto"/>
              </w:rPr>
            </w:pPr>
          </w:p>
        </w:tc>
        <w:tc>
          <w:tcPr>
            <w:tcW w:w="2700" w:type="dxa"/>
            <w:vAlign w:val="bottom"/>
            <w:gridSpan w:val="4"/>
          </w:tcPr>
          <w:p>
            <w:pPr>
              <w:jc w:val="right"/>
              <w:ind w:right="610"/>
              <w:spacing w:after="0"/>
              <w:rPr>
                <w:sz w:val="20"/>
                <w:szCs w:val="20"/>
                <w:color w:val="auto"/>
              </w:rPr>
            </w:pPr>
            <w:r>
              <w:rPr>
                <w:rFonts w:ascii="Arial" w:cs="Arial" w:eastAsia="Arial" w:hAnsi="Arial"/>
                <w:sz w:val="18"/>
                <w:szCs w:val="18"/>
                <w:color w:val="auto"/>
              </w:rPr>
              <w:t>November 30, 2020</w:t>
            </w:r>
          </w:p>
        </w:tc>
      </w:tr>
      <w:tr>
        <w:trPr>
          <w:trHeight w:val="169"/>
        </w:trPr>
        <w:tc>
          <w:tcPr>
            <w:tcW w:w="54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80"/>
              <w:spacing w:after="0" w:line="169" w:lineRule="exact"/>
              <w:rPr>
                <w:sz w:val="20"/>
                <w:szCs w:val="20"/>
                <w:color w:val="auto"/>
              </w:rPr>
            </w:pPr>
            <w:r>
              <w:rPr>
                <w:rFonts w:ascii="Arial" w:cs="Arial" w:eastAsia="Arial" w:hAnsi="Arial"/>
                <w:sz w:val="18"/>
                <w:szCs w:val="18"/>
                <w:color w:val="auto"/>
                <w:w w:val="85"/>
              </w:rPr>
              <w:t>Cash and</w:t>
            </w: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ind w:left="80"/>
              <w:spacing w:after="0" w:line="169" w:lineRule="exact"/>
              <w:rPr>
                <w:sz w:val="20"/>
                <w:szCs w:val="20"/>
                <w:color w:val="auto"/>
              </w:rPr>
            </w:pPr>
            <w:r>
              <w:rPr>
                <w:rFonts w:ascii="Arial" w:cs="Arial" w:eastAsia="Arial" w:hAnsi="Arial"/>
                <w:sz w:val="18"/>
                <w:szCs w:val="18"/>
                <w:color w:val="auto"/>
              </w:rPr>
              <w:t>Short-Term</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ind w:right="240"/>
              <w:spacing w:after="0" w:line="169" w:lineRule="exact"/>
              <w:rPr>
                <w:sz w:val="20"/>
                <w:szCs w:val="20"/>
                <w:color w:val="auto"/>
              </w:rPr>
            </w:pPr>
            <w:r>
              <w:rPr>
                <w:rFonts w:ascii="Arial" w:cs="Arial" w:eastAsia="Arial" w:hAnsi="Arial"/>
                <w:sz w:val="18"/>
                <w:szCs w:val="18"/>
                <w:color w:val="auto"/>
                <w:w w:val="85"/>
              </w:rPr>
              <w:t>Cash and</w:t>
            </w: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color w:val="auto"/>
                <w:w w:val="92"/>
              </w:rPr>
              <w:t>Short-Term</w:t>
            </w:r>
          </w:p>
        </w:tc>
      </w:tr>
      <w:tr>
        <w:trPr>
          <w:trHeight w:val="229"/>
        </w:trPr>
        <w:tc>
          <w:tcPr>
            <w:tcW w:w="5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Equivalents</w:t>
            </w: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Equivalents</w:t>
            </w:r>
          </w:p>
        </w:tc>
        <w:tc>
          <w:tcPr>
            <w:tcW w:w="14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0"/>
              </w:rPr>
              <w:t>Investments</w:t>
            </w: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bonds</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2,954</w:t>
            </w: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6940" w:type="dxa"/>
            <w:vAlign w:val="bottom"/>
            <w:gridSpan w:val="4"/>
          </w:tcPr>
          <w:p>
            <w:pPr>
              <w:spacing w:after="0"/>
              <w:rPr>
                <w:sz w:val="20"/>
                <w:szCs w:val="20"/>
                <w:color w:val="auto"/>
              </w:rPr>
            </w:pPr>
            <w:r>
              <w:rPr>
                <w:rFonts w:ascii="Arial" w:cs="Arial" w:eastAsia="Arial" w:hAnsi="Arial"/>
                <w:sz w:val="18"/>
                <w:szCs w:val="18"/>
                <w:color w:val="auto"/>
              </w:rPr>
              <w:t>The fair value of debt securities by contractual maturity is as follows (in thousands):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73"/>
        </w:trPr>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November 30,</w:t>
            </w: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1"/>
              </w:rPr>
              <w:t>November 30,</w:t>
            </w:r>
          </w:p>
        </w:tc>
      </w:tr>
      <w:tr>
        <w:trPr>
          <w:trHeight w:val="230"/>
        </w:trPr>
        <w:tc>
          <w:tcPr>
            <w:tcW w:w="54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w:t>
            </w:r>
          </w:p>
        </w:tc>
      </w:tr>
      <w:tr>
        <w:trPr>
          <w:trHeight w:val="230"/>
        </w:trPr>
        <w:tc>
          <w:tcPr>
            <w:tcW w:w="5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Due after one year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48"/>
        </w:trPr>
        <w:tc>
          <w:tcPr>
            <w:tcW w:w="54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right="260" w:hanging="332"/>
        <w:spacing w:after="0" w:line="273" w:lineRule="auto"/>
        <w:tabs>
          <w:tab w:leader="none" w:pos="3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U.S. treasury bonds and corporate bonds, which are securities representing investments available for current operations and are classified as current on the consolidated balance sheets.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did not hold any investments with continuous unrealized losses as of November 30, 2021 or November 30,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Note 3: Derivative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w:t>
      </w:r>
    </w:p>
    <w:p>
      <w:pPr>
        <w:spacing w:after="0" w:line="25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On July 9, 2019, we entered into an interest rate swap contract with an initial notional amount of $150.0 million to manage the variability of cash flows associated with approximately one-half of our variable rate debt. The contract matures on April 30, 2024 and requires periodic interest rate settlements. Under this interest rate swap contract, we receive a floating rate based on the greater of 1-month LIBOR or 0.00% and pay a fixed rate of 1.855% on the outstanding notional amount.</w:t>
      </w:r>
    </w:p>
    <w:p>
      <w:pPr>
        <w:spacing w:after="0" w:line="21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have designated the interest rate swap as a cash flow hedge and assessed the hedge effectiveness both at the onset of the hedge and at regular intervals throughout the life of the derivative. To the extent that the interest rate swap is highly effective in offsetting the variability of the hedged cash flows, changes in the fair value of the derivative are included as a component of other comprehensive loss on our consolidated balance sheets. Although we determined at the onset of the hedge that the interest rate swap will be a highly effective hedge throughout the term of the contract, any portion of the fair value swap subsequently determined to be ineffective will be recognized in earnings. As of November 30, 2021 and November 30, 2020, the fair value of the hedge was a loss of $3.1 million and $6.9 million, respectively, and was included in other noncurrent liabilities on our consolidated balance sheets.</w:t>
      </w:r>
    </w:p>
    <w:p>
      <w:pPr>
        <w:spacing w:after="0" w:line="19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following table presents our interest rate swap contract where the notional amount reflects the quarterly amortization of the interest rate swap, which is equal to approximately one-half of the corresponding reduction in the balance of our term loan as we make our scheduled principal payments. The fair value of the derivative represents the discounted value of the expected future discounted cash flows for the interest rate swap, based on the amortization schedule and the current forward curve for the remaining term of the contract, as of the date of each reporting period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ind w:left="620"/>
              <w:spacing w:after="0"/>
              <w:rPr>
                <w:sz w:val="20"/>
                <w:szCs w:val="20"/>
                <w:color w:val="auto"/>
              </w:rPr>
            </w:pPr>
            <w:r>
              <w:rPr>
                <w:rFonts w:ascii="Arial" w:cs="Arial" w:eastAsia="Arial" w:hAnsi="Arial"/>
                <w:sz w:val="18"/>
                <w:szCs w:val="18"/>
                <w:color w:val="auto"/>
              </w:rPr>
              <w:t>November 30, 2021</w:t>
            </w:r>
          </w:p>
        </w:tc>
        <w:tc>
          <w:tcPr>
            <w:tcW w:w="140" w:type="dxa"/>
            <w:vAlign w:val="bottom"/>
          </w:tcPr>
          <w:p>
            <w:pPr>
              <w:spacing w:after="0"/>
              <w:rPr>
                <w:sz w:val="20"/>
                <w:szCs w:val="20"/>
                <w:color w:val="auto"/>
              </w:rPr>
            </w:pPr>
          </w:p>
        </w:tc>
        <w:tc>
          <w:tcPr>
            <w:tcW w:w="2860" w:type="dxa"/>
            <w:vAlign w:val="bottom"/>
            <w:gridSpan w:val="4"/>
          </w:tcPr>
          <w:p>
            <w:pPr>
              <w:ind w:left="640"/>
              <w:spacing w:after="0"/>
              <w:rPr>
                <w:sz w:val="20"/>
                <w:szCs w:val="20"/>
                <w:color w:val="auto"/>
              </w:rPr>
            </w:pPr>
            <w:r>
              <w:rPr>
                <w:rFonts w:ascii="Arial" w:cs="Arial" w:eastAsia="Arial" w:hAnsi="Arial"/>
                <w:sz w:val="18"/>
                <w:szCs w:val="18"/>
                <w:color w:val="auto"/>
              </w:rPr>
              <w:t>November 30, 2020</w:t>
            </w:r>
          </w:p>
        </w:tc>
      </w:tr>
      <w:tr>
        <w:trPr>
          <w:trHeight w:val="223"/>
        </w:trPr>
        <w:tc>
          <w:tcPr>
            <w:tcW w:w="5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Notional Value</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Notional Value</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Fair Value</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 designated as cash flow hedges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8"/>
              </w:rPr>
              <w:t>133,125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5"/>
              </w:rPr>
              <w:t>142,500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Contracts</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generally use forward contracts that are not designated as hedging instruments to hedge economically the impact of the variability in exchange rates on intercompany accounts receivable and loans receivable denominated in certain foreign currencies. We generally do not hedge the net assets of our international subsidiaries.</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forward contracts are recorded at fair value on the consolidated balance sheets at the end of each reporting period and expire between 30 days and three years from the date the contract was entered. At November 30, 2021, $0.3 million and $0.1 million were recorded in other noncurrent liabilities and other accrued liabilities, respectively, on the consolidated balance sheets. At November 30, 2020, $1.4 million was recorded in other assets on the consolidated balance sheets.</w:t>
      </w:r>
    </w:p>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fiscal year 2021, realized and unrealized losses of $2.1 million from our forward contracts were recognized in foreign currency loss, net on the consolidated statement of operations. In fiscal years 2020, realized and unrealized gains of $1.7 million from our forward contracts were recognized in foreign currency loss, net on the consolidated statement of operations. In fiscal year 2019, realized and unrealized losses of $1.1 million from our forward contracts were recognized in foreign currency loss, net on the consolidated statements of operations. These gains and losses were substantially offset by realized and unrealized losses and gains on the offsetting positions.</w:t>
      </w:r>
    </w:p>
    <w:p>
      <w:pPr>
        <w:spacing w:after="0" w:line="21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table below details outstanding foreign currency forward contracts where the notional amount is determined using contract exchange rates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5"/>
          </w:tcPr>
          <w:p>
            <w:pPr>
              <w:ind w:left="660"/>
              <w:spacing w:after="0"/>
              <w:rPr>
                <w:sz w:val="20"/>
                <w:szCs w:val="20"/>
                <w:color w:val="auto"/>
              </w:rPr>
            </w:pPr>
            <w:r>
              <w:rPr>
                <w:rFonts w:ascii="Arial" w:cs="Arial" w:eastAsia="Arial" w:hAnsi="Arial"/>
                <w:sz w:val="18"/>
                <w:szCs w:val="18"/>
                <w:color w:val="auto"/>
              </w:rPr>
              <w:t>November 30, 2021</w:t>
            </w:r>
          </w:p>
        </w:tc>
        <w:tc>
          <w:tcPr>
            <w:tcW w:w="160" w:type="dxa"/>
            <w:vAlign w:val="bottom"/>
          </w:tcPr>
          <w:p>
            <w:pPr>
              <w:spacing w:after="0"/>
              <w:rPr>
                <w:sz w:val="20"/>
                <w:szCs w:val="20"/>
                <w:color w:val="auto"/>
              </w:rPr>
            </w:pPr>
          </w:p>
        </w:tc>
        <w:tc>
          <w:tcPr>
            <w:tcW w:w="2920" w:type="dxa"/>
            <w:vAlign w:val="bottom"/>
            <w:gridSpan w:val="4"/>
          </w:tcPr>
          <w:p>
            <w:pPr>
              <w:jc w:val="right"/>
              <w:ind w:right="730"/>
              <w:spacing w:after="0"/>
              <w:rPr>
                <w:sz w:val="20"/>
                <w:szCs w:val="20"/>
                <w:color w:val="auto"/>
              </w:rPr>
            </w:pPr>
            <w:r>
              <w:rPr>
                <w:rFonts w:ascii="Arial" w:cs="Arial" w:eastAsia="Arial" w:hAnsi="Arial"/>
                <w:sz w:val="18"/>
                <w:szCs w:val="18"/>
                <w:color w:val="auto"/>
              </w:rPr>
              <w:t>November 30, 2020</w:t>
            </w:r>
          </w:p>
        </w:tc>
      </w:tr>
      <w:tr>
        <w:trPr>
          <w:trHeight w:val="223"/>
        </w:trPr>
        <w:tc>
          <w:tcPr>
            <w:tcW w:w="4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Notional Value</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Notional Value</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contracts to sell U.S. dollars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Forward contracts to purchase U.S. dollars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959"/>
        </w:trPr>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details the fair value measurements within the fair value hierarchy of our financial assets and liabilities at November 30, 2021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2"/>
              </w:rPr>
              <w:t>Total Fair</w:t>
            </w:r>
          </w:p>
        </w:tc>
        <w:tc>
          <w:tcPr>
            <w:tcW w:w="2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90"/>
              </w:rPr>
              <w:t>Fair Value Measurements Using</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13"/>
                <w:szCs w:val="13"/>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13"/>
                <w:szCs w:val="13"/>
                <w:color w:val="auto"/>
              </w:rPr>
            </w:pP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2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25,035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25,035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bonds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Foreign exchange derivatives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details the fair value measurements within the fair value hierarchy of our financial assets and liabilities at November 30, 2020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2"/>
              </w:rPr>
              <w:t>Total Fair</w:t>
            </w:r>
          </w:p>
        </w:tc>
        <w:tc>
          <w:tcPr>
            <w:tcW w:w="2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90"/>
              </w:rPr>
              <w:t>Fair Value Measurements Using</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13"/>
                <w:szCs w:val="13"/>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13"/>
                <w:szCs w:val="13"/>
                <w:color w:val="auto"/>
              </w:rPr>
            </w:pP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2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18,964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bonds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derivatives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i w:val="1"/>
                <w:iCs w:val="1"/>
                <w:color w:val="auto"/>
              </w:rPr>
              <w:t>Liabilities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color w:val="auto"/>
        </w:rPr>
        <w:t>When developing fair value estimates, we maximize the use of observable inputs and minimize the use of unobservable inputs. When available, we use quoted market prices to measure fair value. The valuation technique used to measure fair value for our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we are required to make judgments about assumptions market participants would use to estimate the fair value of a financial instrument.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the Convertible Senior Notes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liability component of the Company's Notes, as defined in Note 9: Debt, was recorded at $295.2 million upon issuance, which reflected the fair value of a similar debt instrument that does not have an associated convertible feature. The excess of the Notes’ principal amount over the initial carrying amount of the liability component, referred to as the debt discount, is amortized as interest expense over the Notes’ contractual term. The fair value was determined based on a discounted cash flow model and classified within Level 2 of the fair value hierarchy. The discount rate used reflected both the time value of money and credit risk inherent in the Notes. The carrying value of the liability component of the Notes will be accreted, over the remaining term to maturity, to their principal value of $360.0 million.</w:t>
      </w:r>
    </w:p>
    <w:p>
      <w:pPr>
        <w:spacing w:after="0" w:line="21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Notes’ fair value, inclusive of the conversion feature embedded in the Notes, was $372.1 million as of November 30, 2021. The fair value was determined based on the Notes’ quoted price in an over-the-counter market on the last trading day of the reporting period and classified within Level 1 in the fair value hierarchy. See Note 9: Debt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Note 5: Inventories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8220" w:type="dxa"/>
            <w:vAlign w:val="bottom"/>
          </w:tcPr>
          <w:p>
            <w:pPr>
              <w:spacing w:after="0"/>
              <w:rPr>
                <w:sz w:val="20"/>
                <w:szCs w:val="20"/>
                <w:color w:val="auto"/>
              </w:rPr>
            </w:pPr>
            <w:r>
              <w:rPr>
                <w:rFonts w:ascii="Arial" w:cs="Arial" w:eastAsia="Arial" w:hAnsi="Arial"/>
                <w:sz w:val="18"/>
                <w:szCs w:val="18"/>
                <w:color w:val="auto"/>
              </w:rPr>
              <w:t>The components of inventories were as follows (in thousands):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86"/>
        </w:trPr>
        <w:tc>
          <w:tcPr>
            <w:tcW w:w="8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24"/>
                <w:szCs w:val="24"/>
                <w:color w:val="auto"/>
              </w:rPr>
            </w:pPr>
          </w:p>
        </w:tc>
        <w:tc>
          <w:tcPr>
            <w:tcW w:w="1300" w:type="dxa"/>
            <w:vAlign w:val="bottom"/>
          </w:tcPr>
          <w:p>
            <w:pPr>
              <w:ind w:left="60"/>
              <w:spacing w:after="0"/>
              <w:rPr>
                <w:sz w:val="20"/>
                <w:szCs w:val="20"/>
                <w:color w:val="auto"/>
              </w:rPr>
            </w:pPr>
            <w:r>
              <w:rPr>
                <w:rFonts w:ascii="Arial" w:cs="Arial" w:eastAsia="Arial" w:hAnsi="Arial"/>
                <w:sz w:val="18"/>
                <w:szCs w:val="18"/>
                <w:color w:val="auto"/>
              </w:rPr>
              <w:t>November 30,</w:t>
            </w:r>
          </w:p>
        </w:tc>
      </w:tr>
      <w:tr>
        <w:trPr>
          <w:trHeight w:val="230"/>
        </w:trPr>
        <w:tc>
          <w:tcPr>
            <w:tcW w:w="8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2020</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At November 30, 2021, the inventories balance of $3.6 million was recorded in other current assets on the consolidated balance sheets. The addition of inventories during fiscal year 2021 is related to the acquisition of Kemp. Refer to Note 8: Business Combinations for further information.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Note 6: Property and Equipment</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8220" w:type="dxa"/>
            <w:vAlign w:val="bottom"/>
          </w:tcPr>
          <w:p>
            <w:pPr>
              <w:spacing w:after="0"/>
              <w:rPr>
                <w:sz w:val="20"/>
                <w:szCs w:val="20"/>
                <w:color w:val="auto"/>
              </w:rPr>
            </w:pPr>
            <w:r>
              <w:rPr>
                <w:rFonts w:ascii="Arial" w:cs="Arial" w:eastAsia="Arial" w:hAnsi="Arial"/>
                <w:sz w:val="18"/>
                <w:szCs w:val="18"/>
                <w:color w:val="auto"/>
              </w:rPr>
              <w:t>Property and equipment consists of the following (in thousands):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86"/>
        </w:trPr>
        <w:tc>
          <w:tcPr>
            <w:tcW w:w="8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3"/>
              </w:rPr>
              <w:t>November 30,</w:t>
            </w:r>
          </w:p>
        </w:tc>
      </w:tr>
      <w:tr>
        <w:trPr>
          <w:trHeight w:val="230"/>
        </w:trPr>
        <w:tc>
          <w:tcPr>
            <w:tcW w:w="8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50,103</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Land, buildings and leasehold improvements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31,610</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software development costs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87,096</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(57,279)</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$5.5 million, $6.1 million, and $7.6 million for the years ended November 30, 2021, 2020, and 2019, respectively.</w:t>
      </w:r>
    </w:p>
    <w:p>
      <w:pPr>
        <w:spacing w:after="0" w:line="19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the fourth quarter of fiscal year 2021, we reclassified certain corporate land and building assets previously reported as property and equipment to assets held for sale on our consolidated balance sheet as we expect to sell them within one year. Refer to Note 1: Nature of Business and Summary of Significant Accounting Policies for further discussion.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Note 7: Intangible Assets and 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comprised of the following significant classes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November 30, 2021</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November 30, 2020</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4"/>
              </w:rPr>
              <w:t>Net Book</w:t>
            </w:r>
          </w:p>
        </w:tc>
        <w:tc>
          <w:tcPr>
            <w:tcW w:w="220" w:type="dxa"/>
            <w:vAlign w:val="bottom"/>
          </w:tcPr>
          <w:p>
            <w:pPr>
              <w:spacing w:after="0"/>
              <w:rPr>
                <w:sz w:val="14"/>
                <w:szCs w:val="14"/>
                <w:color w:val="auto"/>
              </w:rPr>
            </w:pPr>
          </w:p>
        </w:tc>
        <w:tc>
          <w:tcPr>
            <w:tcW w:w="104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4"/>
                <w:szCs w:val="14"/>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Net Book</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Amortization</w:t>
            </w:r>
          </w:p>
        </w:tc>
        <w:tc>
          <w:tcPr>
            <w:tcW w:w="2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22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Amortization</w:t>
            </w:r>
          </w:p>
        </w:tc>
        <w:tc>
          <w:tcPr>
            <w:tcW w:w="20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59,623</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Customer-related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306,308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(119,357)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186,951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140,016</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0" w:type="dxa"/>
            <w:vAlign w:val="bottom"/>
          </w:tcPr>
          <w:p>
            <w:pPr>
              <w:spacing w:after="0"/>
              <w:rPr>
                <w:sz w:val="1"/>
                <w:szCs w:val="1"/>
                <w:color w:val="auto"/>
              </w:rPr>
            </w:pPr>
          </w:p>
        </w:tc>
      </w:tr>
      <w:tr>
        <w:trPr>
          <w:trHeight w:val="229"/>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Non-compete agreement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212,747</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amortize intangible assets assuming no expected residual value. Amortization expense related to these intangible assets was $46.9 million, $27.9 million, and $48.1 million in fiscal years 2021, 2020, and 2019, respectively.</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additions to intangible assets during fiscal years 2021 and 2020 are related to the acquisition of Kemp in November 2021 and Chef in October 2020, respectively. Refer to Note 8: Business Combinations for further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Future amortization expense for intangible assets as of November 30, 2021 is as follows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69,106</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68,830</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56,014</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45,504</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36,148</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11,583</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287,185</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Goodwill</w:t>
            </w:r>
          </w:p>
        </w:tc>
        <w:tc>
          <w:tcPr>
            <w:tcW w:w="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580" w:type="dxa"/>
            <w:vAlign w:val="bottom"/>
            <w:gridSpan w:val="2"/>
          </w:tcPr>
          <w:p>
            <w:pPr>
              <w:spacing w:after="0"/>
              <w:rPr>
                <w:sz w:val="20"/>
                <w:szCs w:val="20"/>
                <w:color w:val="auto"/>
              </w:rPr>
            </w:pPr>
            <w:r>
              <w:rPr>
                <w:rFonts w:ascii="Arial" w:cs="Arial" w:eastAsia="Arial" w:hAnsi="Arial"/>
                <w:sz w:val="18"/>
                <w:szCs w:val="18"/>
                <w:color w:val="auto"/>
                <w:w w:val="91"/>
              </w:rPr>
              <w:t>Changes in the carrying amount of goodwill for fiscal years 2021 and 2020 are as follows (in thousands):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November 30, 2021</w:t>
            </w:r>
          </w:p>
        </w:tc>
        <w:tc>
          <w:tcPr>
            <w:tcW w:w="160" w:type="dxa"/>
            <w:vAlign w:val="bottom"/>
          </w:tcPr>
          <w:p>
            <w:pPr>
              <w:spacing w:after="0"/>
              <w:rPr>
                <w:sz w:val="22"/>
                <w:szCs w:val="22"/>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w w:val="93"/>
              </w:rPr>
              <w:t>November 30, 2020</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432,824</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line="230" w:lineRule="exact"/>
              <w:rPr>
                <w:sz w:val="20"/>
                <w:szCs w:val="20"/>
                <w:color w:val="auto"/>
              </w:rPr>
            </w:pPr>
            <w:r>
              <w:rPr>
                <w:rFonts w:ascii="Arial" w:cs="Arial" w:eastAsia="Arial" w:hAnsi="Arial"/>
                <w:sz w:val="18"/>
                <w:szCs w:val="18"/>
                <w:color w:val="auto"/>
              </w:rPr>
              <w:t>Measurement Period Adjustments</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59,858</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Adjustments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491,726</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Represents final measurement period adjustments related to our Chef and Ipswitch acquisitions. Refer to Note 8: Business Combinations for further information.</w:t>
      </w:r>
    </w:p>
    <w:p>
      <w:pPr>
        <w:spacing w:after="0" w:line="13" w:lineRule="exact"/>
        <w:rPr>
          <w:rFonts w:ascii="Arial" w:cs="Arial" w:eastAsia="Arial" w:hAnsi="Arial"/>
          <w:sz w:val="9"/>
          <w:szCs w:val="9"/>
          <w:color w:val="auto"/>
        </w:rPr>
      </w:pPr>
    </w:p>
    <w:p>
      <w:pPr>
        <w:ind w:right="460" w:firstLine="8"/>
        <w:spacing w:after="0" w:line="255" w:lineRule="auto"/>
        <w:tabs>
          <w:tab w:leader="none" w:pos="132" w:val="left"/>
        </w:tabs>
        <w:numPr>
          <w:ilvl w:val="0"/>
          <w:numId w:val="15"/>
        </w:numPr>
        <w:rPr>
          <w:rFonts w:ascii="Arial" w:cs="Arial" w:eastAsia="Arial" w:hAnsi="Arial"/>
          <w:sz w:val="9"/>
          <w:szCs w:val="9"/>
          <w:color w:val="auto"/>
        </w:rPr>
      </w:pPr>
      <w:r>
        <w:rPr>
          <w:rFonts w:ascii="Arial" w:cs="Arial" w:eastAsia="Arial" w:hAnsi="Arial"/>
          <w:sz w:val="14"/>
          <w:szCs w:val="14"/>
          <w:color w:val="auto"/>
        </w:rPr>
        <w:t>The additions to goodwill during fiscal years 2021 and 2020 are related to the acquisition of Kemp in November 2021 and Chef in October 2020, respectively. Refer to Note 8: Business Combinations for further information.</w:t>
      </w:r>
    </w:p>
    <w:p>
      <w:pPr>
        <w:spacing w:after="0" w:line="2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assess the impairment of goodwill on an annual basis and whenever events or changes in circumstances indicate that the carrying value of the asset may not be recoverable.</w:t>
      </w:r>
    </w:p>
    <w:p>
      <w:pPr>
        <w:spacing w:after="0" w:line="19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During fiscal year 2021, we performed a quantitative assessment as of October 31, 2021 and concluded that there was no impairment since it was not more likely than not that the fair value of our reporting unit was less than its carrying value. We did not recognize any goodwill impairment charges during fiscal years 2021, 2020, or 2019.</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Note 8: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 Acquisition</w:t>
      </w:r>
    </w:p>
    <w:p>
      <w:pPr>
        <w:spacing w:after="0" w:line="25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November 1, 2021, we completed the acquisition of the parent company of Kemp Technologies, Inc. (“Kemp”) pursuant to the Stock Purchase Agreement (the “Purchase Agreement”), dated as of September 23, 2021. The acquisition was completed for a base purchase price of $258.0 million, subject to certain customary adjustments as further described in the Purchase Agreement (the “Aggregate Consideration”), which was paid in cash from existing cash balances. Pursuant to the Purchase Agreement, $2.0 million of the Aggregate Consideration was deposited into an escrow account to secure certain potential obligations of the former Kemp equity holders.</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Kemp is an application experience company that helps enterprises deliver, optimize and secure applications and networks across any cloud or hybrid environment. With this acquisition, we extended our portfolio of products in DevOps, Application Development, Data Connectivity and Digital Experience, adding Application Experience Management (AX). Kemp Loadmaster and Flowmon Network Visibility products monitor application performance, and distribute and balance traffic and workloads across servers, in the cloud or on premise, ensuring high performance and availability.</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Aggregate Consideration has been preliminarily allocated to Kemp’s tangible assets, identifiable intangible assets, and assumed liabilities based on their estimated fair values. The preliminary fair value estimates of the net assets acquired are based upon preliminary calculations and valuations, and those estimates and assumptions are subject to change as we obtain additional information for those estimates during the measurement period (up to one year from the acquisition date). The excess of the total consideration over the tangible assets, identifiable intangible assets, and assumed liabilities was recorded as goodwil</w:t>
      </w:r>
      <w:r>
        <w:rPr>
          <w:rFonts w:ascii="Arial" w:cs="Arial" w:eastAsia="Arial" w:hAnsi="Arial"/>
          <w:sz w:val="16"/>
          <w:szCs w:val="16"/>
          <w:color w:val="auto"/>
        </w:rPr>
        <w:t>l.</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The preliminary allocation of the purchase price is as follows (in thousands):</w:t>
            </w:r>
          </w:p>
        </w:tc>
        <w:tc>
          <w:tcPr>
            <w:tcW w:w="1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820" w:type="dxa"/>
            <w:vAlign w:val="bottom"/>
          </w:tcPr>
          <w:p>
            <w:pPr>
              <w:spacing w:after="0"/>
              <w:rPr>
                <w:sz w:val="24"/>
                <w:szCs w:val="24"/>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w w:val="93"/>
              </w:rPr>
              <w:t>Preliminary Purchase Price</w:t>
            </w:r>
          </w:p>
        </w:tc>
        <w:tc>
          <w:tcPr>
            <w:tcW w:w="120" w:type="dxa"/>
            <w:vAlign w:val="bottom"/>
          </w:tcPr>
          <w:p>
            <w:pPr>
              <w:spacing w:after="0"/>
              <w:rPr>
                <w:sz w:val="24"/>
                <w:szCs w:val="24"/>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Allocation</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working capital</w:t>
            </w:r>
          </w:p>
        </w:tc>
        <w:tc>
          <w:tcPr>
            <w:tcW w:w="14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(23,187)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(29,997)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179,521</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275,881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fair value of the intangible assets was estimated using the income approach in which the after-tax cash flows are discounted to present value. The cash flows are based on estimates used to value the acquisition, and the discount rates applied were benchmarked with reference to the implied rate of return from the transaction model as well as the weighted average cost of capital. The valuation assumptions take into consideration our estimates of customer attrition, technology obsolescence, and revenue growth projections. Based on the preliminary valuation, the acquired intangible assets are comprised of customer relationships of approximately $75.5 million, existing technology of approximately $39.4 million, and trade names of approximately $7.2 million.</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Tangible assets acquired and assumed liabilities were recorded at fair value. As described in Note 1: Nature of Business and Summary of Significant Accounting Policies, we adopted ASU 2021-08, which amended ASC 805 to require acquiring entities to apply Topic 606 to recognize and measure contract assets and contract liabilities in a business combination. We determined the acquisition date deferred revenue balance based on our assessment of the individual contracts acquired and our application of Topic 606. A significant portion of the deferred revenue is expected to be recognized in the 12 months following the acquisition.</w:t>
      </w:r>
    </w:p>
    <w:p>
      <w:pPr>
        <w:spacing w:after="0" w:line="21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recorded the excess of the purchase price over the identified tangible and intangible assets as goodwill. We believe that the investment value of the future enhancement of our product and solution offerings created as a result of this acquisition has principally contributed to a purchase price that resulted in the recognition of $179.5 million of goodwill, which is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ind w:right="220"/>
        <w:spacing w:after="0" w:line="259" w:lineRule="auto"/>
        <w:rPr>
          <w:sz w:val="20"/>
          <w:szCs w:val="20"/>
          <w:color w:val="auto"/>
        </w:rPr>
      </w:pPr>
      <w:r>
        <w:rPr>
          <w:rFonts w:ascii="Arial" w:cs="Arial" w:eastAsia="Arial" w:hAnsi="Arial"/>
          <w:sz w:val="18"/>
          <w:szCs w:val="18"/>
          <w:color w:val="auto"/>
        </w:rPr>
        <w:t>Acquisition-related transaction costs (e.g., legal, due diligence, valuation, and other professional fees) and certain acquisition restructuring and related charges are not included as a component of consideration transferred but are required to be expensed as incurred. During the fiscal year ended November 30, 2021, we incurred approximately $1.9 million of acquisition-related costs, which are included in acquisition-related expenses on our consolidated statement of operations.</w:t>
      </w:r>
    </w:p>
    <w:p>
      <w:pPr>
        <w:spacing w:after="0" w:line="21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amount of revenue of Kemp included in our consolidated statement of operations during the fiscal year ended November 30, 2021 was approximately $5.9 million. We determined that disclosing the amount of Kemp related earnings included in the consolidated statements of operations is impracticable, as certain operations of Kemp were integrated into the operations of the Company from the date of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 Forma Information</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pro forma financial information presents the combined results of operations of Progress and Kemp as if the acquisition had occurred on December 1, 2019, after giving effect to certain pro forma adjustments. The pro forma adjustments reflected herein include only those adjustments that are directly attributable to the Kemp acquisition and factually supportable. These pro forma adjustments include: (i) an increase in revenue from Kemp as a result of the application of Topic 606 to recognize and measure contract assets and contract liabilities in the business combination, (ii) a net increase in amortization expense to record amortization expense relating to the $122.1 million of acquired identifiable intangible assets, (iii) a decrease in interest expense to remove the interest expense associated with Kemp’s debt obligations, and (iv) the income tax effect of the adjustments made at the statutory tax rate of the U.S. (approximately 24.5%).</w:t>
      </w:r>
    </w:p>
    <w:p>
      <w:pPr>
        <w:spacing w:after="0" w:line="22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pro forma financial information does not reflect any adjustments for anticipated expense savings resulting from the acquisition and is not necessarily indicative of the operating results that would have actually occurred had the transaction been consummated on December 1, 2019. These results are prepared in accordance with ASC 606.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Pro Forma Fiscal Year Ended</w:t>
            </w:r>
          </w:p>
        </w:tc>
        <w:tc>
          <w:tcPr>
            <w:tcW w:w="120" w:type="dxa"/>
            <w:vAlign w:val="bottom"/>
          </w:tcPr>
          <w:p>
            <w:pPr>
              <w:spacing w:after="0"/>
              <w:rPr>
                <w:sz w:val="17"/>
                <w:szCs w:val="17"/>
                <w:color w:val="auto"/>
              </w:rPr>
            </w:pPr>
          </w:p>
        </w:tc>
        <w:tc>
          <w:tcPr>
            <w:tcW w:w="2260" w:type="dxa"/>
            <w:vAlign w:val="bottom"/>
          </w:tcPr>
          <w:p>
            <w:pPr>
              <w:jc w:val="right"/>
              <w:ind w:right="50"/>
              <w:spacing w:after="0"/>
              <w:rPr>
                <w:sz w:val="20"/>
                <w:szCs w:val="20"/>
                <w:color w:val="auto"/>
              </w:rPr>
            </w:pPr>
            <w:r>
              <w:rPr>
                <w:rFonts w:ascii="Arial" w:cs="Arial" w:eastAsia="Arial" w:hAnsi="Arial"/>
                <w:sz w:val="18"/>
                <w:szCs w:val="18"/>
                <w:color w:val="auto"/>
                <w:w w:val="88"/>
              </w:rPr>
              <w:t>Pro Forma Fiscal Year Ended</w:t>
            </w:r>
          </w:p>
        </w:tc>
      </w:tr>
      <w:tr>
        <w:trPr>
          <w:trHeight w:val="230"/>
        </w:trPr>
        <w:tc>
          <w:tcPr>
            <w:tcW w:w="63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Pr>
          <w:p>
            <w:pPr>
              <w:spacing w:after="0"/>
              <w:rPr>
                <w:sz w:val="19"/>
                <w:szCs w:val="19"/>
                <w:color w:val="auto"/>
              </w:rPr>
            </w:pPr>
          </w:p>
        </w:tc>
        <w:tc>
          <w:tcPr>
            <w:tcW w:w="24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November 30, 2021</w:t>
            </w:r>
          </w:p>
        </w:tc>
        <w:tc>
          <w:tcPr>
            <w:tcW w:w="120" w:type="dxa"/>
            <w:vAlign w:val="bottom"/>
          </w:tcPr>
          <w:p>
            <w:pPr>
              <w:spacing w:after="0"/>
              <w:rPr>
                <w:sz w:val="19"/>
                <w:szCs w:val="19"/>
                <w:color w:val="auto"/>
              </w:rPr>
            </w:pPr>
          </w:p>
        </w:tc>
        <w:tc>
          <w:tcPr>
            <w:tcW w:w="2260" w:type="dxa"/>
            <w:vAlign w:val="bottom"/>
          </w:tcPr>
          <w:p>
            <w:pPr>
              <w:jc w:val="right"/>
              <w:ind w:right="390"/>
              <w:spacing w:after="0"/>
              <w:rPr>
                <w:sz w:val="20"/>
                <w:szCs w:val="20"/>
                <w:color w:val="auto"/>
              </w:rPr>
            </w:pPr>
            <w:r>
              <w:rPr>
                <w:rFonts w:ascii="Arial" w:cs="Arial" w:eastAsia="Arial" w:hAnsi="Arial"/>
                <w:sz w:val="18"/>
                <w:szCs w:val="18"/>
                <w:color w:val="auto"/>
              </w:rPr>
              <w:t>November 30, 2020</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590,133</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490,229</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75,612</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65,360</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basic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Chef Acquisition</w:t>
      </w:r>
    </w:p>
    <w:p>
      <w:pPr>
        <w:spacing w:after="0" w:line="2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October 5, 2020, we completed the acquisition of Chef Software Inc. (“Chef”) pursuant to the Agreement and Plan of Merger (the “Merger Agreement”), dated as of September 4, 2020. The acquisition was completed for a base purchase price of $220.0 million, subject to certain customary adjustments as further described in the Merger Agreement (the “Aggregate Consideration”), which was paid in cash. Pursuant to the Merger Agreement, $12.0 million of the Aggregate Consideration was deposited into an escrow account to secure certain indemnification and other potential obligations of the former Chef equity holders.</w:t>
      </w:r>
    </w:p>
    <w:p>
      <w:pPr>
        <w:spacing w:after="0" w:line="2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Chef is a global leader in DevOps and DevSecOps, providing complete infrastructure automation to build, deploy, manage and secure applications in modern multi-cloud and hybrid environments, as well as on-premises. Chef has enhanced our position as a trusted provider of the best products to develop, deploy and manage high-impact applications by providing industry-leading compliance and application automation products for multi-cloud and on-prem infrastructure. The acquisition bolstered our core offerings, enabling customers to respond faster to business demands and improve efficiency. We funded the acquisition through a combination of existing cash resources and by drawing down $98.5 million from our existing revolving credit facility. Refer to Note 9: Debt for further information.</w:t>
      </w:r>
    </w:p>
    <w:p>
      <w:pPr>
        <w:spacing w:after="0" w:line="219" w:lineRule="exact"/>
        <w:rPr>
          <w:sz w:val="20"/>
          <w:szCs w:val="20"/>
          <w:color w:val="auto"/>
        </w:rPr>
      </w:pPr>
    </w:p>
    <w:p>
      <w:pPr>
        <w:jc w:val="both"/>
        <w:ind w:right="240"/>
        <w:spacing w:after="0" w:line="324" w:lineRule="auto"/>
        <w:rPr>
          <w:sz w:val="20"/>
          <w:szCs w:val="20"/>
          <w:color w:val="auto"/>
        </w:rPr>
      </w:pPr>
      <w:r>
        <w:rPr>
          <w:rFonts w:ascii="Arial" w:cs="Arial" w:eastAsia="Arial" w:hAnsi="Arial"/>
          <w:sz w:val="16"/>
          <w:szCs w:val="16"/>
          <w:color w:val="auto"/>
        </w:rPr>
        <w:t>The Aggregate Consideration has been allocated to Chef’s tangible assets, identifiable intangible assets, and assumed liabilities based on their estimated fair values. The excess of the total consideration over the tangible assets, identifiable intangible assets, and assumed liabilities was recorded as goodwill.</w:t>
      </w:r>
    </w:p>
    <w:p>
      <w:pPr>
        <w:spacing w:after="0" w:line="15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recorded measurement period adjustments in accordance with FASB’s guidance regarding business combinations in the third and fourth quarters of fiscal year 2021 based on our valuation and purchase price allocation procedures. The measurement period adjustments, which were completed during the fourth quarter of fiscal year 2021, resulted in a decrease to goodwill of $0.3 million, primarily due to a decrease to accrued expenses and deferred taxes.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allocation of the purchase price is as follows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Initial Purchase Price</w:t>
            </w:r>
          </w:p>
        </w:tc>
        <w:tc>
          <w:tcPr>
            <w:tcW w:w="120" w:type="dxa"/>
            <w:vAlign w:val="bottom"/>
          </w:tcPr>
          <w:p>
            <w:pPr>
              <w:spacing w:after="0"/>
              <w:rPr>
                <w:sz w:val="17"/>
                <w:szCs w:val="17"/>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Measurement Period</w:t>
            </w:r>
          </w:p>
        </w:tc>
        <w:tc>
          <w:tcPr>
            <w:tcW w:w="120" w:type="dxa"/>
            <w:vAlign w:val="bottom"/>
          </w:tcPr>
          <w:p>
            <w:pPr>
              <w:spacing w:after="0"/>
              <w:rPr>
                <w:sz w:val="17"/>
                <w:szCs w:val="17"/>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w w:val="89"/>
              </w:rPr>
              <w:t>Final Purchase Price</w:t>
            </w:r>
          </w:p>
        </w:tc>
        <w:tc>
          <w:tcPr>
            <w:tcW w:w="140" w:type="dxa"/>
            <w:vAlign w:val="bottom"/>
          </w:tcPr>
          <w:p>
            <w:pPr>
              <w:spacing w:after="0"/>
              <w:rPr>
                <w:sz w:val="17"/>
                <w:szCs w:val="17"/>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Allocation</w:t>
            </w:r>
          </w:p>
        </w:tc>
        <w:tc>
          <w:tcPr>
            <w:tcW w:w="120" w:type="dxa"/>
            <w:vAlign w:val="bottom"/>
          </w:tcPr>
          <w:p>
            <w:pPr>
              <w:spacing w:after="0"/>
              <w:rPr>
                <w:sz w:val="19"/>
                <w:szCs w:val="19"/>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Adjustments</w:t>
            </w:r>
          </w:p>
        </w:tc>
        <w:tc>
          <w:tcPr>
            <w:tcW w:w="120" w:type="dxa"/>
            <w:vAlign w:val="bottom"/>
          </w:tcPr>
          <w:p>
            <w:pPr>
              <w:spacing w:after="0"/>
              <w:rPr>
                <w:sz w:val="19"/>
                <w:szCs w:val="19"/>
                <w:color w:val="auto"/>
              </w:rPr>
            </w:pP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Allocation</w:t>
            </w: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working capital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52,477</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38,300</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5,700</w:t>
            </w:r>
          </w:p>
        </w:tc>
        <w:tc>
          <w:tcPr>
            <w:tcW w:w="1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97,300</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Lease liabilities, net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(1,810)</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(12,525)</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59,585</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231,115</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231,115</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fair value of the intangible assets was estimated using the income approach in which the after-tax cash flows are discounted to present value. The cash flows are based on estimates used to value the acquisition, and the discount rates applied were benchmarked with reference to the implied rate of return from the transaction model as well as the weighted average cost of capital. The valuation assumptions take into consideration our estimates of customer attrition, technology obsolescence, and revenue growth projections.</w:t>
      </w:r>
    </w:p>
    <w:p>
      <w:pPr>
        <w:spacing w:after="0" w:line="215"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Tangible assets acquired and assumed liabilities were recorded at fair value. The valuation of the assumed deferred revenue was based on our contractual commitment to provide post-contract customer support to Chef customers and future contractual performance obligations under existing hosting arrangements. The fair value of this assumed liability was based on the estimated cost plus a reasonable margin to fulfill these service obligations. A significant portion of the deferred revenue was recognized in the 12 months following the acquisition.</w:t>
      </w:r>
    </w:p>
    <w:p>
      <w:pPr>
        <w:spacing w:after="0" w:line="19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recorded the excess of the purchase price over the identified tangible and intangible assets as goodwill. We believe that the investment value of the future enhancement of our product and solution offerings created as a result of this acquisition has principally contributed to a purchase price that resulted in the recognition of $59.6 million of goodwill, which is not deductible for tax purposes.</w:t>
      </w:r>
    </w:p>
    <w:p>
      <w:pPr>
        <w:spacing w:after="0" w:line="209"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Acquisition-related transaction costs (e.g., legal, due diligence, valuation, and other professional fees) and certain acquisition restructuring and related charges are not included as a component of consideration transferred but are required to be expensed as incurred. During the fiscal year ended November 30, 2021, we incurred approximately $0.7 million of acquisition-related costs, which are included in acquisition-related expenses on our consolidated statement of operations.</w:t>
      </w:r>
    </w:p>
    <w:p>
      <w:pPr>
        <w:spacing w:after="0" w:line="215"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The operations of Chef are included in our operating results from the date of acquisition. We determined that disclosing the amount of Chef related earnings included in the consolidated statements of operations is impracticable, as certain operations of Chef were integrated into the operations of the Company from the date of acquisition.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Pro Forma Information</w:t>
      </w:r>
    </w:p>
    <w:p>
      <w:pPr>
        <w:spacing w:after="0" w:line="239"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following pro forma financial information presents the combined results of operations of Progress and Chef as if the acquisition had occurred on December 1, 2018, after giving effect to certain pro forma adjustments. The pro forma adjustments reflected herein include only those adjustments that are directly attributable to the Chef acquisition and factually supportable. These pro forma adjustments include (i) a decrease in revenue from Chef due to the beginning balance of deferred revenue being adjusted to reflect the fair value of the acquired balance, (ii) a net increase in amortization expense to record amortization expense for the $141.3 million of acquired identifiable intangible assets, (iii) an increase in interest expense to record interest for the period presented as a result of drawing down our revolving credit facility in connection with the acquisition, and (iv) the income tax effect of the adjustments made at the statutory tax rate of the U.S. (approximately 24.5%).</w:t>
      </w:r>
    </w:p>
    <w:p>
      <w:pPr>
        <w:spacing w:after="0" w:line="207"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The pro forma financial information does not reflect any adjustments for anticipated expense savings resulting from the acquisition and is not necessarily indicative of the operating results that would have actually occurred had the transaction been consummated on December 1, 2018. These results are prepared in accordance with ASC 606.</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80" w:type="dxa"/>
            <w:vAlign w:val="bottom"/>
          </w:tcPr>
          <w:p>
            <w:pPr>
              <w:jc w:val="center"/>
              <w:ind w:right="50"/>
              <w:spacing w:after="0"/>
              <w:rPr>
                <w:sz w:val="20"/>
                <w:szCs w:val="20"/>
                <w:color w:val="auto"/>
              </w:rPr>
            </w:pPr>
            <w:r>
              <w:rPr>
                <w:rFonts w:ascii="Arial" w:cs="Arial" w:eastAsia="Arial" w:hAnsi="Arial"/>
                <w:sz w:val="18"/>
                <w:szCs w:val="18"/>
                <w:color w:val="auto"/>
                <w:w w:val="91"/>
              </w:rPr>
              <w:t>Pro Forma</w:t>
            </w:r>
          </w:p>
        </w:tc>
      </w:tr>
      <w:tr>
        <w:trPr>
          <w:trHeight w:val="176"/>
        </w:trPr>
        <w:tc>
          <w:tcPr>
            <w:tcW w:w="55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2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9"/>
              </w:rPr>
              <w:t>Fiscal Year Ended November</w:t>
            </w:r>
          </w:p>
        </w:tc>
      </w:tr>
      <w:tr>
        <w:trPr>
          <w:trHeight w:val="229"/>
        </w:trPr>
        <w:tc>
          <w:tcPr>
            <w:tcW w:w="55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460" w:type="dxa"/>
            <w:vAlign w:val="bottom"/>
          </w:tcPr>
          <w:p>
            <w:pPr>
              <w:spacing w:after="0"/>
              <w:rPr>
                <w:sz w:val="19"/>
                <w:szCs w:val="19"/>
                <w:color w:val="auto"/>
              </w:rPr>
            </w:pPr>
          </w:p>
        </w:tc>
        <w:tc>
          <w:tcPr>
            <w:tcW w:w="2280" w:type="dxa"/>
            <w:vAlign w:val="bottom"/>
          </w:tcPr>
          <w:p>
            <w:pPr>
              <w:jc w:val="center"/>
              <w:ind w:right="50"/>
              <w:spacing w:after="0"/>
              <w:rPr>
                <w:sz w:val="20"/>
                <w:szCs w:val="20"/>
                <w:color w:val="auto"/>
              </w:rPr>
            </w:pPr>
            <w:r>
              <w:rPr>
                <w:rFonts w:ascii="Arial" w:cs="Arial" w:eastAsia="Arial" w:hAnsi="Arial"/>
                <w:sz w:val="18"/>
                <w:szCs w:val="18"/>
                <w:color w:val="auto"/>
                <w:w w:val="88"/>
              </w:rPr>
              <w:t>30, 2020</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497,700</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6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61,952</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basic share</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346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1.37</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Ipswitch Acquisition</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April 30, 2019, we completed the acquisition of all of the outstanding equity interests of Ipswitch, Inc. (“Ipswitch”) from Roger Greene (the “Seller”) pursuant to the Stock Purchase Agreement, dated as of March 28, 2019, by and among Progress, Ipswitch and the Seller. The acquisition was completed for an aggregate purchase price of $225.0 million, subject to certain customary adjustments as further described in the Stock Purchase Agreement, which was paid in cash. Pursuant to the Stock Purchase Agreement, $22.5 million of the purchase price was deposited into an escrow account to secure certain indemnification and other potential obligations of the Seller to Progress. This escrow was released in full in May 2020 upon expiration of the twelve-month escrow period. The Seller also received an award of approximately $2.0 million in Progress restricted stock as consideration for the Seller entering into a non-competition agreement for three years as set forth in the Stock Purchase Agreement.</w:t>
      </w:r>
    </w:p>
    <w:p>
      <w:pPr>
        <w:spacing w:after="0" w:line="20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Ipswitch enables approximately 24,000 small and medium-sized businesses and enterprises to provide secure data sharing and ensure high-performance infrastructure availability. Through this acquisition, we bolstered our core offerings to small and medium-sized businesses and enterprises, enabling those businesses to respond faster to business demands and to improve productivity. We funded the acquisition through a combination of existing cash resources and a $185.0 million term loan, which is part of our $401.0 million term loan and revolving line of credit. Refer to Note 9: Debt for further information.</w:t>
      </w:r>
    </w:p>
    <w:p>
      <w:pPr>
        <w:spacing w:after="0" w:line="184" w:lineRule="exact"/>
        <w:rPr>
          <w:sz w:val="20"/>
          <w:szCs w:val="20"/>
          <w:color w:val="auto"/>
        </w:rPr>
      </w:pPr>
    </w:p>
    <w:p>
      <w:pPr>
        <w:jc w:val="both"/>
        <w:ind w:right="480"/>
        <w:spacing w:after="0" w:line="324" w:lineRule="auto"/>
        <w:rPr>
          <w:sz w:val="20"/>
          <w:szCs w:val="20"/>
          <w:color w:val="auto"/>
        </w:rPr>
      </w:pPr>
      <w:r>
        <w:rPr>
          <w:rFonts w:ascii="Arial" w:cs="Arial" w:eastAsia="Arial" w:hAnsi="Arial"/>
          <w:sz w:val="16"/>
          <w:szCs w:val="16"/>
          <w:color w:val="auto"/>
        </w:rPr>
        <w:t>The purchase price has been allocated to Ipswitch’s tangible assets, identifiable intangible assets, and assumed liabilities based on their estimated fair values. The excess of the total consideration over the tangible assets, identifiable intangible assets, and assumed liabilities was recorded as goodwill.</w:t>
      </w:r>
    </w:p>
    <w:p>
      <w:pPr>
        <w:spacing w:after="0" w:line="151"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We recorded measurement period adjustments in accordance with FASB’s guidance regarding business combinations in the fourth quarter of fiscal year 2019 and the second quarter of fiscal year 2020 based on our valuation and purchase price allocation procedures. The measurement period adjustments, which were completed during the second quarter of fiscal year 2020, resulted in a decrease to goodwill of $0.6 million, primarily due to a decrease to the sales tax reserve, partially offset by increased accrued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the net assets acquired in the business combination (in thousands)</w:t>
      </w:r>
      <w:r>
        <w:rPr>
          <w:rFonts w:ascii="Arial" w:cs="Arial" w:eastAsia="Arial" w:hAnsi="Arial"/>
          <w:sz w:val="16"/>
          <w:szCs w:val="16"/>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Initial Purchase</w:t>
            </w:r>
          </w:p>
        </w:tc>
        <w:tc>
          <w:tcPr>
            <w:tcW w:w="16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Measurement</w:t>
            </w:r>
          </w:p>
        </w:tc>
        <w:tc>
          <w:tcPr>
            <w:tcW w:w="120" w:type="dxa"/>
            <w:vAlign w:val="bottom"/>
          </w:tcPr>
          <w:p>
            <w:pPr>
              <w:spacing w:after="0"/>
              <w:rPr>
                <w:sz w:val="18"/>
                <w:szCs w:val="18"/>
                <w:color w:val="auto"/>
              </w:rPr>
            </w:pPr>
          </w:p>
        </w:tc>
        <w:tc>
          <w:tcPr>
            <w:tcW w:w="1240" w:type="dxa"/>
            <w:vAlign w:val="bottom"/>
            <w:vMerge w:val="restart"/>
          </w:tcPr>
          <w:p>
            <w:pPr>
              <w:jc w:val="right"/>
              <w:ind w:right="70"/>
              <w:spacing w:after="0"/>
              <w:rPr>
                <w:sz w:val="20"/>
                <w:szCs w:val="20"/>
                <w:color w:val="auto"/>
              </w:rPr>
            </w:pPr>
            <w:r>
              <w:rPr>
                <w:rFonts w:ascii="Arial" w:cs="Arial" w:eastAsia="Arial" w:hAnsi="Arial"/>
                <w:sz w:val="18"/>
                <w:szCs w:val="18"/>
                <w:color w:val="auto"/>
                <w:w w:val="88"/>
              </w:rPr>
              <w:t>Final Purchase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92"/>
              </w:rPr>
              <w:t>Period</w:t>
            </w: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19"/>
                <w:szCs w:val="19"/>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Price Allocation</w:t>
            </w:r>
          </w:p>
        </w:tc>
        <w:tc>
          <w:tcPr>
            <w:tcW w:w="16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Adjustments</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Price Allocation</w:t>
            </w: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working capital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4,661</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33,100</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9,600</w:t>
            </w:r>
          </w:p>
        </w:tc>
        <w:tc>
          <w:tcPr>
            <w:tcW w:w="1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66,600</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(12,725)</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117,651</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117,033</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225,298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225,298</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fair value of the intangible assets has been estimated using the income approach in which the after-tax cash flows are discounted to present value. The cash flows are based on estimates used to value the acquisition, and the discount rates applied were benchmarked with reference to the implied rate of return from the transaction model as well as the weighted average cost of capital. The valuation assumptions take into consideration the Company's estimates of customer attrition, technology obsolescence, and revenue growth projections. Based on the valuation, the acquired intangible assets are comprised of customer relationships of approximately $66.6 million, existing technology of approximately $33.1 million, and trade names of approximately $9.6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2" w:name="page63"/>
    <w:bookmarkEnd w:id="62"/>
    <w:p>
      <w:pPr>
        <w:ind w:right="180"/>
        <w:spacing w:after="0" w:line="279" w:lineRule="auto"/>
        <w:rPr>
          <w:sz w:val="20"/>
          <w:szCs w:val="20"/>
          <w:color w:val="auto"/>
        </w:rPr>
      </w:pPr>
      <w:r>
        <w:rPr>
          <w:rFonts w:ascii="Arial" w:cs="Arial" w:eastAsia="Arial" w:hAnsi="Arial"/>
          <w:sz w:val="17"/>
          <w:szCs w:val="17"/>
          <w:color w:val="auto"/>
        </w:rPr>
        <w:t>Tangible assets acquired and assumed liabilities were recorded at fair value. The valuation of the assumed deferred revenue was based on our contractual commitment to provide post-contract customer support to Ipswitch customers and future contractual performance obligations under existing hosting arrangements. The fair value of this assumed liability was based on the estimated cost plus a reasonable margin to fulfill these service obligations. A significant portion of the deferred revenue was recognized in the 12 months following the acquisition.</w:t>
      </w:r>
    </w:p>
    <w:p>
      <w:pPr>
        <w:spacing w:after="0" w:line="19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recorded the excess of the purchase price over the identified tangible and intangible assets as goodwill. We believe that the investment value of the future enhancement of our product offerings created as a result of this acquisition has principally contributed to a purchase price that resulted in the recognition of $117.0 million of goodwill, which is deductible for tax purposes.</w:t>
      </w:r>
    </w:p>
    <w:p>
      <w:pPr>
        <w:spacing w:after="0" w:line="211"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An election was made under Section 338(h)(10) of the Internal Revenue Code for Ipswitch to treat the transaction as a sale of all its assets on the acquisition date and subsequent liquidation. As a result, the identifiable intangible assets and goodwill are deductible for tax purposes.</w:t>
      </w:r>
    </w:p>
    <w:p>
      <w:pPr>
        <w:spacing w:after="0" w:line="15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previously noted, the Seller received a restricted stock award of approximately $2.0 million, subject to continued compliance with the three-year non-compete agreement. We concluded that the restricted stock award is not a compensation arrangement and we recorded the fair value of the award as an intangible asset separate from goodwill. We will recognize intangible asset amortization expense over the term of the agreement, which is 3 years. We recorded $0.7 million of amortization expense related to this restricted stock award for the fiscal year ended November 30, 2021 in operating expenses on our condensed consolidated statement of operations.</w:t>
      </w:r>
    </w:p>
    <w:p>
      <w:pPr>
        <w:spacing w:after="0" w:line="215"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Acquisition-related transaction costs (e.g., legal, due diligence, valuation, and other professional fees) and certain acquisition restructuring and related charges are not included as a component of consideration transferred but are required to be expensed as incurred. We did not incur acquisition-related transaction costs during the fiscal year ended November 30, 2021.</w:t>
      </w:r>
    </w:p>
    <w:p>
      <w:pPr>
        <w:spacing w:after="0" w:line="21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operations of Ipswitch are included in our operating results during the fiscal year ending November 30, 2021. We determined that disclosing the amount of Ipswitch related earnings included in the consolidated statements of operations during fiscal year ending November 30, 2021 is impracticable, as certain operations of Ipswitch have been integrated into the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Note 9: Debt</w:t>
            </w: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900" w:type="dxa"/>
            <w:vAlign w:val="bottom"/>
            <w:gridSpan w:val="4"/>
          </w:tcPr>
          <w:p>
            <w:pPr>
              <w:spacing w:after="0"/>
              <w:rPr>
                <w:sz w:val="20"/>
                <w:szCs w:val="20"/>
                <w:color w:val="auto"/>
              </w:rPr>
            </w:pPr>
            <w:r>
              <w:rPr>
                <w:rFonts w:ascii="Arial" w:cs="Arial" w:eastAsia="Arial" w:hAnsi="Arial"/>
                <w:sz w:val="18"/>
                <w:szCs w:val="18"/>
                <w:color w:val="auto"/>
                <w:w w:val="92"/>
              </w:rPr>
              <w:t>As of November 30, 2021, future maturities of the Company's long-term debt were as follows:</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8"/>
                <w:szCs w:val="18"/>
                <w:color w:val="auto"/>
              </w:rPr>
              <w:t>2026 Notes</w:t>
            </w: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Credit Facility Maturing in</w:t>
            </w:r>
          </w:p>
        </w:tc>
        <w:tc>
          <w:tcPr>
            <w:tcW w:w="500" w:type="dxa"/>
            <w:vAlign w:val="bottom"/>
          </w:tcPr>
          <w:p>
            <w:pPr>
              <w:spacing w:after="0"/>
              <w:rPr>
                <w:sz w:val="24"/>
                <w:szCs w:val="24"/>
                <w:color w:val="auto"/>
              </w:rPr>
            </w:pPr>
          </w:p>
        </w:tc>
        <w:tc>
          <w:tcPr>
            <w:tcW w:w="1640" w:type="dxa"/>
            <w:vAlign w:val="bottom"/>
            <w:vMerge w:val="restart"/>
          </w:tcPr>
          <w:p>
            <w:pPr>
              <w:jc w:val="right"/>
              <w:ind w:right="7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26,338</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33,863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33,863</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206,936</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face value of long-term debt</w:t>
            </w:r>
          </w:p>
        </w:tc>
        <w:tc>
          <w:tcPr>
            <w:tcW w:w="38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360,000</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267,137</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627,137</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(66,843)</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Less current portion of long-term debt, net</w:t>
            </w:r>
          </w:p>
        </w:tc>
        <w:tc>
          <w:tcPr>
            <w:tcW w:w="38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(25,767)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(25,767)</w:t>
            </w:r>
          </w:p>
        </w:tc>
        <w:tc>
          <w:tcPr>
            <w:tcW w:w="0" w:type="dxa"/>
            <w:vAlign w:val="bottom"/>
          </w:tcPr>
          <w:p>
            <w:pPr>
              <w:spacing w:after="0"/>
              <w:rPr>
                <w:sz w:val="1"/>
                <w:szCs w:val="1"/>
                <w:color w:val="auto"/>
              </w:rPr>
            </w:pP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534,527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and Capped Calls</w:t>
      </w:r>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April 2021, the Company issued, in a private placement to certain initial purchasers in reliance upon the exemption from registration provided by Section 4(a)(2) of the Securities Act in transactions not involving any public offering, for resale by the initial purchasers to persons whom the initial purchasers believe are qualified institutional buyers pursuant to Rule144A under the Securities Act, Convertible Senior Notes (the "Notes") with an aggregate principal amount of $325 million, due April 15, 2026, unless earlier repurchased, redeemed or converted. The proceeds from the Notes were used or are anticipated to be used for the Capped Call Transactions (described below), working capital, and other general corporate purposes, including acquisitions. There are no required principal payments prior to the maturity of the Notes. In addition, the Company also granted the initial purchasers of the Notes an option to purchase up to an additional $50.0 million aggregate principal amount of the Notes, for settlement within a 13-day period beginning on, and including, April 13, 2021, of which $35 million of additional Notes were purchased for total proceeds of $360 million. The Notes bear interest at an annual rate of 1%, payable semi-annually in arrears on April 15 and October 15 of each year, beginning on October 15,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Notes: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360,000</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issuance costs</w:t>
            </w: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2"/>
              </w:rPr>
              <w:t>(10,804)</w:t>
            </w:r>
          </w:p>
        </w:tc>
      </w:tr>
      <w:tr>
        <w:trPr>
          <w:trHeight w:val="248"/>
        </w:trPr>
        <w:tc>
          <w:tcPr>
            <w:tcW w:w="88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8"/>
              </w:rPr>
              <w:t>349,196</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Before January 15, 2026, Noteholders may convert their Notes in the following circumstances:</w:t>
      </w:r>
    </w:p>
    <w:p>
      <w:pPr>
        <w:spacing w:after="0" w:line="252" w:lineRule="exact"/>
        <w:rPr>
          <w:sz w:val="20"/>
          <w:szCs w:val="20"/>
          <w:color w:val="auto"/>
        </w:rPr>
      </w:pPr>
    </w:p>
    <w:p>
      <w:pPr>
        <w:ind w:left="660" w:hanging="328"/>
        <w:spacing w:after="0" w:line="287"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any fiscal quarter (and only during such fiscal quarter) commencing after the fiscal quarter ending on May 31, 2021, if the last reported sale price per share of the Company’s common stock exceeds 130% of the conversion price for each of at least twenty trading days (whether or not consecutive) during the thirty consecutive trading days ending on, and including, the last trading day of the immediately preceding fiscal quarter;</w:t>
      </w:r>
    </w:p>
    <w:p>
      <w:pPr>
        <w:spacing w:after="0" w:line="2" w:lineRule="exact"/>
        <w:rPr>
          <w:rFonts w:ascii="Arial" w:cs="Arial" w:eastAsia="Arial" w:hAnsi="Arial"/>
          <w:sz w:val="16"/>
          <w:szCs w:val="16"/>
          <w:color w:val="auto"/>
        </w:rPr>
      </w:pPr>
    </w:p>
    <w:p>
      <w:pPr>
        <w:ind w:left="660" w:right="180" w:hanging="328"/>
        <w:spacing w:after="0" w:line="265"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During the five consecutive business days immediately after any ten consecutive trading day period (the “Measurement Period”), if the trading price per $1,000 principal amount of Notes for each trading day of the Measurement Period was less than 98% of the product of the last reported sale price per share of Company’s common stock on such trading day and the conversion rate on such trading day; or</w:t>
      </w:r>
    </w:p>
    <w:p>
      <w:pPr>
        <w:ind w:left="660" w:right="380" w:hanging="328"/>
        <w:spacing w:after="0" w:line="25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the Company’s common stock, or if the Company calls such Notes for redemption, then the Noteholder of any Note may convert such Note at any time before the close of business on the business day immediately before the related redemption date.</w:t>
      </w:r>
    </w:p>
    <w:p>
      <w:pPr>
        <w:spacing w:after="0" w:line="2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From and after January 15, 2026, Noteholders may convert their Notes at any time at their election until the close of business on the second scheduled trading day immediately before the maturity date. The Company will satisfy its conversion obligations by paying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ind w:right="280"/>
        <w:spacing w:after="0" w:line="301" w:lineRule="auto"/>
        <w:rPr>
          <w:sz w:val="20"/>
          <w:szCs w:val="20"/>
          <w:color w:val="auto"/>
        </w:rPr>
      </w:pPr>
      <w:r>
        <w:rPr>
          <w:rFonts w:ascii="Arial" w:cs="Arial" w:eastAsia="Arial" w:hAnsi="Arial"/>
          <w:sz w:val="16"/>
          <w:szCs w:val="16"/>
          <w:color w:val="auto"/>
        </w:rPr>
        <w:t>cash up to the aggregate principal amount of Notes to be converted, by issuing shares of its common stock or a combination of cash and shares of its common stock, at its election. The initial conversion rate is 17.4525 shares of common stock per $1,000 principal amount of the Notes, representing an initial conversion price of approximately $57.30 per share of common stock. The conversion rate will be adjusted upon the occurrence of certain events, including spin-offs, tender offers, exchange offers, make-whole fundamental change and certain stockholder distributions.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Rights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or after April 20, 2024, and on or before the 50th scheduled trading day immediately before the maturity date, the Company may redeem for cash all or part of the Notes, subject to the partial redemption limitation, at a repurchase price equal to 100% of the principal amount, plus accrued and unpaid interest, if the last reported sale price per share of the Company’s common stock exceeded 130% of the conversion price on (1) each of at least 20 trading days (whether or not consecutive) during any 30 consecutive trading day period ending on, and including, the trading day immediately preceding the date on which the Company provides a redemption notice and (2) the trading day immediately before the date the Company sends such notice. Pursuant to the partial redemption limitation, the Company may not elect to redeem less than all of the outstanding Notes unless at least $100.0 million aggregate principal amount of Notes are outstanding and not subject to redemption as of the time it sends the related redemption notice.</w:t>
      </w:r>
    </w:p>
    <w:p>
      <w:pPr>
        <w:spacing w:after="0" w:line="193"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If certain corporate events that constitute a “fundamental change” (as described below) occur at any time, holders may, subject to certain exceptions, require the Company to purchase their Notes in whole or in part for cash at a price equal to the principal amount of the Notes to be repurchased, plus accrued and unpaid interest, if any, to, but excluding, the fundamental change repurchase date. A fundamental change relates to events such as business combination transactions involving the Company and certain de-listing events with respect to the Company’s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April 8, 2021, in connection with the pricing of the Notes, the Company entered into privately negotiated capped call transactions (“Capped Call Transactions”) with one or more of the initial purchasers and/or their respective affiliates and/or other financial institutions. The Capped Call Transactions cover, subject to anti-dilution adjustments substantially similar to those applicable to the Notes, approximately 6.3 million shares (representing the number of shares of common stock initially underlying the Notes) of the Company’s common stock. The Capped Call Transactions are generally expected to reduce potential dilution to our common stock upon any conversion of Notes and/or offset any potential cash payments the Company is required to make in excess of the principal amount of converted Notes, as the case may be, with such reduction and/or offset subject to a cap. The cap price of the Capped Call Transactions will initially be $89.88 per share of common stock, which represents a premium of 100% over the last reported sale price of the common stock of $44.94 per share on April 8, 2021, and is subject to certain adjustments under the terms of the Capped Call Transactions. The cost of the purchased capped calls of $43.1 million was recorded as a reduction to additional paid-in-capital.</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elected to integrate the capped call options with the applicable Notes for federal income tax purposes pursuant to applicable U.S. Treasury Regulations. Accordingly, the $43.1 million gross cost of the purchased capped calls will be deductible for income tax purposes as original discount interest over the term of the Notes. We recorded deferred tax assets of $10.6 million with respect to the capped calls which represents the tax benefit of these deductions with an offsetting entry to additional paid-in capital.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accounting for the transaction, the Notes have been separated into liability and equity components.</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conversion option of the Notes does not require bifurcation as an embedded derivative.</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initial carrying amount of the liability component was calculated by measuring the fair value of a similar debt instrument that does not have an associated conversion feature. The excess of the Notes’ principal amount over the initial carrying amount of the liability component, referred to as the debt discount, is amortized as interest expense over the Notes’ contractual term.</w:t>
      </w:r>
    </w:p>
    <w:p>
      <w:pPr>
        <w:spacing w:after="0" w:line="1" w:lineRule="exact"/>
        <w:rPr>
          <w:rFonts w:ascii="Arial" w:cs="Arial" w:eastAsia="Arial" w:hAnsi="Arial"/>
          <w:sz w:val="18"/>
          <w:szCs w:val="18"/>
          <w:color w:val="auto"/>
        </w:rPr>
      </w:pPr>
    </w:p>
    <w:p>
      <w:pPr>
        <w:ind w:left="660" w:right="40" w:hanging="328"/>
        <w:spacing w:after="0" w:line="290"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equity component, which represents the difference between the gross proceeds and the initial liability component, was recorded as an increase to additional paid-in capital and is not remeasured as long as it continues to meet the conditions for equity classification.</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incurred issuance costs of $10.8 million related to the Notes, allocated between the Notes’ liability and equity components proportionate to the initial carrying amount of the liability and equity components.</w:t>
      </w:r>
    </w:p>
    <w:p>
      <w:pPr>
        <w:spacing w:after="0" w:line="197" w:lineRule="exact"/>
        <w:rPr>
          <w:sz w:val="20"/>
          <w:szCs w:val="20"/>
          <w:color w:val="auto"/>
        </w:rPr>
      </w:pPr>
    </w:p>
    <w:p>
      <w:pPr>
        <w:ind w:left="660" w:right="1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 costs attributable to the liability component of $8.9 million are recorded as an offset to the Notes’ principal balance. They are amortized as interest expense using the effective interest method over the contractual term of the Notes.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5" w:name="page66"/>
    <w:bookmarkEnd w:id="65"/>
    <w:p>
      <w:pPr>
        <w:ind w:left="660" w:right="1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costs attributable to the equity component of $1.9 million are recorded as an offset to the equity component in additional paid-in capital and are not amortized.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carrying amount of the liability component:</w:t>
            </w: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CCEEFF"/>
            </w:tcBorders>
          </w:tcPr>
          <w:p>
            <w:pPr>
              <w:spacing w:after="0"/>
              <w:rPr>
                <w:sz w:val="22"/>
                <w:szCs w:val="22"/>
                <w:color w:val="auto"/>
              </w:rPr>
            </w:pPr>
          </w:p>
        </w:tc>
        <w:tc>
          <w:tcPr>
            <w:tcW w:w="2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November 30, 2021</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Conversion option allocated to equity</w:t>
            </w: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(64,800)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294,535</w:t>
            </w:r>
          </w:p>
        </w:tc>
        <w:tc>
          <w:tcPr>
            <w:tcW w:w="0" w:type="dxa"/>
            <w:vAlign w:val="bottom"/>
          </w:tcPr>
          <w:p>
            <w:pPr>
              <w:spacing w:after="0"/>
              <w:rPr>
                <w:sz w:val="1"/>
                <w:szCs w:val="1"/>
                <w:color w:val="auto"/>
              </w:rPr>
            </w:pPr>
          </w:p>
        </w:tc>
      </w:tr>
      <w:tr>
        <w:trPr>
          <w:trHeight w:val="21"/>
        </w:trPr>
        <w:tc>
          <w:tcPr>
            <w:tcW w:w="6320" w:type="dxa"/>
            <w:vAlign w:val="bottom"/>
            <w:vMerge w:val="restart"/>
          </w:tcPr>
          <w:p>
            <w:pPr>
              <w:spacing w:after="0"/>
              <w:rPr>
                <w:sz w:val="20"/>
                <w:szCs w:val="20"/>
                <w:color w:val="auto"/>
              </w:rPr>
            </w:pPr>
            <w:r>
              <w:rPr>
                <w:rFonts w:ascii="Arial" w:cs="Arial" w:eastAsia="Arial" w:hAnsi="Arial"/>
                <w:sz w:val="18"/>
                <w:szCs w:val="18"/>
                <w:color w:val="auto"/>
                <w:w w:val="95"/>
              </w:rPr>
              <w:t>Net carrying amount of the equity component, included in additional paid-in capital:</w:t>
            </w: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CCEEFF"/>
            </w:tcBorders>
          </w:tcPr>
          <w:p>
            <w:pPr>
              <w:spacing w:after="0"/>
              <w:rPr>
                <w:sz w:val="22"/>
                <w:szCs w:val="22"/>
                <w:color w:val="auto"/>
              </w:rPr>
            </w:pPr>
          </w:p>
        </w:tc>
        <w:tc>
          <w:tcPr>
            <w:tcW w:w="2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November 30, 2021</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Conversion options</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62,855</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Capped call</w:t>
            </w:r>
          </w:p>
        </w:tc>
        <w:tc>
          <w:tcPr>
            <w:tcW w:w="30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(43,056)</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Net of issuance costs</w:t>
            </w:r>
          </w:p>
        </w:tc>
        <w:tc>
          <w:tcPr>
            <w:tcW w:w="3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620" w:type="dxa"/>
            <w:vAlign w:val="bottom"/>
            <w:gridSpan w:val="4"/>
            <w:vMerge w:val="restart"/>
          </w:tcPr>
          <w:p>
            <w:pPr>
              <w:jc w:val="right"/>
              <w:ind w:right="1550"/>
              <w:spacing w:after="0"/>
              <w:rPr>
                <w:sz w:val="20"/>
                <w:szCs w:val="20"/>
                <w:color w:val="auto"/>
              </w:rPr>
            </w:pPr>
            <w:r>
              <w:rPr>
                <w:rFonts w:ascii="Arial" w:cs="Arial" w:eastAsia="Arial" w:hAnsi="Arial"/>
                <w:sz w:val="18"/>
                <w:szCs w:val="18"/>
                <w:color w:val="auto"/>
              </w:rPr>
              <w:t>Twelve Months Ended</w:t>
            </w:r>
          </w:p>
        </w:tc>
        <w:tc>
          <w:tcPr>
            <w:tcW w:w="0" w:type="dxa"/>
            <w:vAlign w:val="bottom"/>
          </w:tcPr>
          <w:p>
            <w:pPr>
              <w:spacing w:after="0"/>
              <w:rPr>
                <w:sz w:val="1"/>
                <w:szCs w:val="1"/>
                <w:color w:val="auto"/>
              </w:rPr>
            </w:pPr>
          </w:p>
        </w:tc>
      </w:tr>
      <w:tr>
        <w:trPr>
          <w:trHeight w:val="525"/>
        </w:trPr>
        <w:tc>
          <w:tcPr>
            <w:tcW w:w="6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9"/>
                <w:szCs w:val="19"/>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November 30, 2021</w:t>
            </w:r>
          </w:p>
        </w:tc>
        <w:tc>
          <w:tcPr>
            <w:tcW w:w="300" w:type="dxa"/>
            <w:vAlign w:val="bottom"/>
          </w:tcPr>
          <w:p>
            <w:pPr>
              <w:spacing w:after="0"/>
              <w:rPr>
                <w:sz w:val="19"/>
                <w:szCs w:val="19"/>
                <w:color w:val="auto"/>
              </w:rPr>
            </w:pPr>
          </w:p>
        </w:tc>
        <w:tc>
          <w:tcPr>
            <w:tcW w:w="2120" w:type="dxa"/>
            <w:vAlign w:val="bottom"/>
          </w:tcPr>
          <w:p>
            <w:pPr>
              <w:jc w:val="right"/>
              <w:ind w:right="410"/>
              <w:spacing w:after="0"/>
              <w:rPr>
                <w:sz w:val="20"/>
                <w:szCs w:val="20"/>
                <w:color w:val="auto"/>
              </w:rPr>
            </w:pPr>
            <w:r>
              <w:rPr>
                <w:rFonts w:ascii="Arial" w:cs="Arial" w:eastAsia="Arial" w:hAnsi="Arial"/>
                <w:sz w:val="18"/>
                <w:szCs w:val="18"/>
                <w:color w:val="auto"/>
              </w:rPr>
              <w:t>November 30, 2020</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 (1% coupon)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line="230" w:lineRule="exact"/>
              <w:rPr>
                <w:sz w:val="20"/>
                <w:szCs w:val="20"/>
                <w:color w:val="auto"/>
              </w:rPr>
            </w:pPr>
            <w:r>
              <w:rPr>
                <w:rFonts w:ascii="Arial" w:cs="Arial" w:eastAsia="Arial" w:hAnsi="Arial"/>
                <w:sz w:val="18"/>
                <w:szCs w:val="18"/>
                <w:color w:val="auto"/>
              </w:rPr>
              <w:t>Amortization of debt discount</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7,209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Amortization of issuance costs</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2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Amortized based upon an effective interest rate of 5.7%.</w:t>
            </w: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3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April 30, 2019, we entered into an amended and restated credit agreement (the "Credit Agreement"), which provides for a $301.0 million secured term loan and a $100.0 million secured revolving line of credit. The revolving line of credit may be made available in U.S. Dollars and certain other currencies and may be increased by up to an additional $125.0 million if the existing or additional lenders are willing to make such increased commitments. The revolving line of credit has sublimits for swing line loans up to $25.0 million and for the issuance of standby letters of credit in a face amount up to $25.0 million.</w:t>
      </w:r>
    </w:p>
    <w:p>
      <w:pPr>
        <w:spacing w:after="0" w:line="21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Credit Agreement modified our prior credit facility by extending the maturity date to April 30, 2024 and extending the principal repayments of the term loan. We borrowed an additional $185.0 million under the term loan as part of this modified credit facility. The new term loan was used to partially fund our acquisition of Ipswitch in April 2019. During October 2020, we partially funded our acquisition of Chef by drawing down $98.5 million under the revolving line of credit, which we repaid in full during fiscal year 2021. Refer to Note 8: Business Combinations for further discussion.</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Interest rates for the term loan and revolving line of credit are based upon our leverage ratio and determined based on an index selected at our option. The rates range from 1.50% to 2.00% above the Eurocurrency rate for Eurocurrency-based borrowings or from 0.50% to 1.00% above the defined base rate for base rate borrowings. Additionally, we may borrow certain foreign currencies at rates set in the same respective range above the London interbank offered interest rates for those currencies. A quarterly commitment fee on the undrawn portion of the revolving credit facility is required and ranges from 0.25% to 0.35% per annum based on our leverage ratio. The average interest rate of the credit facility during the fiscal year ended November 30, 2021 was 1.90% and the interest rate as of November 30, 2021 was 1.88%.</w:t>
      </w:r>
    </w:p>
    <w:p>
      <w:pPr>
        <w:spacing w:after="0" w:line="21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credit facility matures on April 30, 2024, when all amounts outstanding will be due and payable in full. The revolving line of credit does not require amortization of principal. The outstanding balance of the term loan as of November 30, 2021 was $267.1 million, with $26.3 million due in the next 12 months. The term loan requires repayment of principal at the end of each fiscal quarter, beginning with the fiscal quarter ended August 31, 2019. The principal repayment amounts are in accordance with the following schedule: (i) four payments of $1.9 million each, (ii) four payments of $3.8 million each,</w:t>
      </w:r>
    </w:p>
    <w:p>
      <w:pPr>
        <w:spacing w:after="0" w:line="1" w:lineRule="exact"/>
        <w:rPr>
          <w:sz w:val="20"/>
          <w:szCs w:val="20"/>
          <w:color w:val="auto"/>
        </w:rPr>
      </w:pPr>
    </w:p>
    <w:p>
      <w:pPr>
        <w:ind w:right="20" w:firstLine="8"/>
        <w:spacing w:after="0" w:line="277" w:lineRule="auto"/>
        <w:tabs>
          <w:tab w:leader="none" w:pos="3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four payments of $5.6 million each, (iv) four payments of $7.5 million each, (v) three payments of $9.4 million each, and (vi) the last payment is of the remaining principal amount. Any amounts outstanding under the term loan thereafter would be due on the maturity date. The term loan may be prepaid before maturity in whole or in part at our option without penalty or premium. As of November 30, 2021, the carrying value of the term</w:t>
      </w:r>
    </w:p>
    <w:p>
      <w:pPr>
        <w:sectPr>
          <w:pgSz w:w="11900" w:h="16838" w:orient="portrait"/>
          <w:cols w:equalWidth="0" w:num="1">
            <w:col w:w="11240"/>
          </w:cols>
          <w:pgMar w:left="320" w:top="773" w:right="3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6" w:name="page67"/>
    <w:bookmarkEnd w:id="66"/>
    <w:p>
      <w:pPr>
        <w:ind w:right="360"/>
        <w:spacing w:after="0" w:line="277" w:lineRule="auto"/>
        <w:rPr>
          <w:sz w:val="20"/>
          <w:szCs w:val="20"/>
          <w:color w:val="auto"/>
        </w:rPr>
      </w:pPr>
      <w:r>
        <w:rPr>
          <w:rFonts w:ascii="Arial" w:cs="Arial" w:eastAsia="Arial" w:hAnsi="Arial"/>
          <w:sz w:val="18"/>
          <w:szCs w:val="18"/>
          <w:color w:val="auto"/>
        </w:rPr>
        <w:t>loan approximates the fair value, based on Level 2 inputs (observable market prices in less than active markets), as the interest rate is variable over the selected interest period and is similar to current rates at which we can borrow funds.</w:t>
      </w:r>
    </w:p>
    <w:p>
      <w:pPr>
        <w:spacing w:after="0" w:line="19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Costs incurred to obtain our long-term debt of $1.6 million, along with $1.2 million of unamortized debt issuance costs related to the previous credit agreement, are recorded as debt issuance costs as a direct deduction from the carrying value of the debt liability on our consolidated balance sheets as of November 30, 2021. These costs are being amortized over the term of the debt agreement using the effective interest rate method. Amortization expense related to the debt issuance costs of $0.6 million for the fiscal years ended November 30, 2021 and 2020 and $0.4 million for the fiscal year ended November 30, 2019 and is recorded in interest expense on our consolidated statements of operations.</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Revolving loans may be borrowed, repaid, and reborrowed until April 30, 2024, at which time all amounts outstanding must be repaid. Accrued interest on the loans is payable quarterly in arrears with respect to base rate loans and at the end of each interest rate period (or at each three-month interval in the case of loans with interest periods greater than three months) with respect to Eurocurrency rate loans. We may prepay the loans or terminate or reduce the commitments in whole or in part at any time, without premium or penalty, subject to certain conditions and reimbursement of certain costs in the case of Eurocurrency rate loans. As of November 30, 2021, there were no outstanding amounts under the revolving line of credit and $2.3 million of letters of credit.</w:t>
      </w:r>
    </w:p>
    <w:p>
      <w:pPr>
        <w:spacing w:after="0" w:line="21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are the sole borrower under the credit facility. Our obligations under the Credit Agreement are secured by substantially all of our assets and each of our material domestic subsidiaries, as well as 100% of the capital stock of our domestic subsidiaries and 65% of the capital stock of our first-tier foreign subsidiaries, in each case, subject to certain exceptions as described in the Credit Agreement. Future material domestic subsidiaries will be required to guaranty our obligations under the Credit Agreement, and to grant security interests in substantially all of their assets to secure such obligations.</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Credit Agreement contains customary affirmative and negative covenants, including covenants that limit or restrict our ability to, among other things, grant liens, make investments, make acquisitions, incur indebtedness, merge or consolidate, dispose of assets, pay dividends or make distributions, repurchase stock, change the nature of the business, enter into certain transactions with affiliates and enter into burdensome agreements, in each case subject to customary exceptions for a credit facility of this size and type. We are also required to maintain compliance with a consolidated fixed charge coverage ratio, a consolidated total leverage ratio and a consolidated senior secured leverage ratio. We are in compliance with these financial covenants as of November 30,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February 2016, the FASB issued ASC 842 to increase transparency and comparability among organizations by recognizing lease assets and lease liabilities on the balance sheet and disclosing key information about leasing arrangements. The Company adopted ASC 842 on December 1, 2019 using the modified retrospective method and as a result did not adjust comparative periods or modify disclosures in those comparative periods.</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new guidance provides a number of optional practical expedients in transition. The Company elected the package of practical expedients, which does not require the reassessment of prior conclusions about lease identification, lease classification and initial direct costs. Further, the Company elected the practical expedients to combine lease and non-lease components. Contracts may be comprised of lease components, non-lease components, and elements that are not components. Each lease component represents a lessee’s right to use an underlying asset in the contract if the lessee can benefit from the right-of-use of the asset either on its own or together with other readily available resources and if the right-of-use is neither highly dependent or highly interrelated with other rights-of-use. Non-lease components include items such as common area maintenance and utilities provided by the lessor. We also elected the practical expedient to not recognize right-of-use assets and lease liabilities for short-term leases. Leases with an initial term of 12 months or less are classified as short-term leases.</w:t>
      </w:r>
    </w:p>
    <w:p>
      <w:pPr>
        <w:spacing w:after="0" w:line="2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Consideration in the contract is comprised of any fixed payments and variable payments that depend on an index or rate. Payments in the Company's operating lease arrangements primarily consist of base office rent. In accordance with ASC 842, variable payments in an agreement that are not dependent on an index or rate are excluded from the calculation of ROU assets and lease liabilities. The Company makes variable payments on certain of its leases related to taxes, insurance, common area maintenance, and utilities, among other things.</w:t>
      </w:r>
    </w:p>
    <w:p>
      <w:pPr>
        <w:spacing w:after="0" w:line="21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adoption of ASC 842 on December 1, 2019 resulted in the recognition of operating lease ROU assets of approximately $28.9 million and operating lease liabilities of approximately $29.9 million. The difference between the value of the ROU assets and lease liabilities is due to the reclassification of existing deferred rent, prepaid rent, and unamortized lease incentives as of December 1, 2019. Operating leases are included in ROU assets and lease liabilities on the Company’s balance sheets. ROU assets and lease liabilities are to be presented separately for operating and finance leases. However, the Company currently has no material finance leases. The adoption of ASC 842 did not have a material impact on the Company’s condensed consolidated statement of operations, consolidated statement of stockholders' equity, consolidated statement of comprehensive income (loss) or consolidated statement of</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7"/>
          <w:szCs w:val="17"/>
          <w:color w:val="auto"/>
        </w:rPr>
        <w:t>cash flows. The adoption of ASC 842 had no impact on liquidity or the Company’s debt-covenant compliance under its current debt agreements.</w:t>
      </w:r>
    </w:p>
    <w:p>
      <w:pPr>
        <w:spacing w:after="0" w:line="26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determines if an arrangement is a lease at inception. ROU assets represent the Company’s right to use an underlying asset for the duration of the lease term. Lease liabilities represent the Company’s contractual obligation to make lease payments over the lease term. ROU assets are recorded and recognized at commencement for the lease liability amount, plus initial direct costs incurred less lease incentives received. Lease liabilities are recorded at the present value of future lease payments over the lease term at commencement. Operating leases liabilities and their corresponding ROU assets are recorded based on the present value of lease payments over the expected lease term. The interest rate implicit in the lease contracts is not readily determinable. As such, we utilize the appropriate incremental borrowing rate, which is the rate incurred to borrow on a collateralized basis over a similar term at an amount equal to the lease payments in a similar economic environment. Lease expenses relating to operating leases are recognized on a straight-line basis over the lease term.</w:t>
      </w:r>
    </w:p>
    <w:p>
      <w:pPr>
        <w:spacing w:after="0" w:line="20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Company has operating leases for administrative, product development, and sales and marketing facilities, vehicles, and equipment under various non-cancelable lease agreements. The Company’s leases have remaining lease terms ranging from 1 year to 8 years. The Company’s lease terms may include options to extend or terminate the lease where it is reasonably certain that the Company will exercise those options. The Company considers several economic factors when making the determination as to whether the Company will exercise options to extend or terminate the lease, including but not limited to, the significance of leasehold improvements incurred in the office space, the difficulty in replacing the asset, underlying contractual obligations, or specific characteristics unique to a particular lease. The Company’s lease agreements do not contain any material residual value guarantees or material restrictive covenants.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The components of operating lease cost for the year ended November 30, 2021 was as follows (in thousands):</w:t>
            </w: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tcPr>
          <w:p>
            <w:pPr>
              <w:jc w:val="right"/>
              <w:ind w:right="290"/>
              <w:spacing w:after="0"/>
              <w:rPr>
                <w:sz w:val="20"/>
                <w:szCs w:val="20"/>
                <w:color w:val="auto"/>
              </w:rPr>
            </w:pPr>
            <w:r>
              <w:rPr>
                <w:rFonts w:ascii="Arial" w:cs="Arial" w:eastAsia="Arial" w:hAnsi="Arial"/>
                <w:sz w:val="18"/>
                <w:szCs w:val="18"/>
                <w:color w:val="auto"/>
                <w:w w:val="99"/>
              </w:rPr>
              <w:t>Fiscal Year Ended</w:t>
            </w:r>
          </w:p>
        </w:tc>
        <w:tc>
          <w:tcPr>
            <w:tcW w:w="0" w:type="dxa"/>
            <w:vAlign w:val="bottom"/>
          </w:tcPr>
          <w:p>
            <w:pPr>
              <w:spacing w:after="0"/>
              <w:rPr>
                <w:sz w:val="1"/>
                <w:szCs w:val="1"/>
                <w:color w:val="auto"/>
              </w:rPr>
            </w:pPr>
          </w:p>
        </w:tc>
      </w:tr>
      <w:tr>
        <w:trPr>
          <w:trHeight w:val="230"/>
        </w:trPr>
        <w:tc>
          <w:tcPr>
            <w:tcW w:w="9160" w:type="dxa"/>
            <w:vAlign w:val="bottom"/>
            <w:vMerge w:val="restart"/>
          </w:tcPr>
          <w:p>
            <w:pPr>
              <w:ind w:left="20"/>
              <w:spacing w:after="0"/>
              <w:rPr>
                <w:sz w:val="20"/>
                <w:szCs w:val="20"/>
                <w:color w:val="auto"/>
              </w:rPr>
            </w:pPr>
            <w:r>
              <w:rPr>
                <w:rFonts w:ascii="Arial" w:cs="Arial" w:eastAsia="Arial" w:hAnsi="Arial"/>
                <w:sz w:val="18"/>
                <w:szCs w:val="18"/>
                <w:color w:val="auto"/>
              </w:rPr>
              <w:t>Lease costs under long-term operating leases</w:t>
            </w: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November 30, 2021</w:t>
            </w:r>
          </w:p>
        </w:tc>
        <w:tc>
          <w:tcPr>
            <w:tcW w:w="0" w:type="dxa"/>
            <w:vAlign w:val="bottom"/>
          </w:tcPr>
          <w:p>
            <w:pPr>
              <w:spacing w:after="0"/>
              <w:rPr>
                <w:sz w:val="1"/>
                <w:szCs w:val="1"/>
                <w:color w:val="auto"/>
              </w:rPr>
            </w:pPr>
          </w:p>
        </w:tc>
      </w:tr>
      <w:tr>
        <w:trPr>
          <w:trHeight w:val="223"/>
        </w:trPr>
        <w:tc>
          <w:tcPr>
            <w:tcW w:w="916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29"/>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costs under short-term operating leases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9160" w:type="dxa"/>
            <w:vAlign w:val="bottom"/>
          </w:tcPr>
          <w:p>
            <w:pPr>
              <w:ind w:left="20"/>
              <w:spacing w:after="0" w:line="230" w:lineRule="exact"/>
              <w:rPr>
                <w:sz w:val="20"/>
                <w:szCs w:val="20"/>
                <w:color w:val="auto"/>
              </w:rPr>
            </w:pPr>
            <w:r>
              <w:rPr>
                <w:rFonts w:ascii="Arial" w:cs="Arial" w:eastAsia="Arial" w:hAnsi="Arial"/>
                <w:sz w:val="18"/>
                <w:szCs w:val="18"/>
                <w:color w:val="auto"/>
              </w:rPr>
              <w:t>Variable lease cost under short-term and long-term operating leases</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9"/>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 impairment</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23"/>
        </w:trPr>
        <w:tc>
          <w:tcPr>
            <w:tcW w:w="9160" w:type="dxa"/>
            <w:vAlign w:val="bottom"/>
          </w:tcPr>
          <w:p>
            <w:pPr>
              <w:ind w:left="220"/>
              <w:spacing w:after="0"/>
              <w:rPr>
                <w:sz w:val="20"/>
                <w:szCs w:val="20"/>
                <w:color w:val="auto"/>
              </w:rPr>
            </w:pPr>
            <w:r>
              <w:rPr>
                <w:rFonts w:ascii="Arial" w:cs="Arial" w:eastAsia="Arial" w:hAnsi="Arial"/>
                <w:sz w:val="18"/>
                <w:szCs w:val="18"/>
                <w:color w:val="auto"/>
              </w:rPr>
              <w:t>Total operating lease cost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Lease costs that are not fixed at lease commencement.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The table below presents supplemental cash flow information related to leases during the year ended November 30, 2021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gridSpan w:val="3"/>
          </w:tcPr>
          <w:p>
            <w:pPr>
              <w:jc w:val="right"/>
              <w:ind w:right="290"/>
              <w:spacing w:after="0"/>
              <w:rPr>
                <w:sz w:val="20"/>
                <w:szCs w:val="20"/>
                <w:color w:val="auto"/>
              </w:rPr>
            </w:pPr>
            <w:r>
              <w:rPr>
                <w:rFonts w:ascii="Arial" w:cs="Arial" w:eastAsia="Arial" w:hAnsi="Arial"/>
                <w:sz w:val="18"/>
                <w:szCs w:val="18"/>
                <w:color w:val="auto"/>
              </w:rPr>
              <w:t>Fiscal Year Ended</w:t>
            </w:r>
          </w:p>
        </w:tc>
        <w:tc>
          <w:tcPr>
            <w:tcW w:w="0" w:type="dxa"/>
            <w:vAlign w:val="bottom"/>
          </w:tcPr>
          <w:p>
            <w:pPr>
              <w:spacing w:after="0"/>
              <w:rPr>
                <w:sz w:val="1"/>
                <w:szCs w:val="1"/>
                <w:color w:val="auto"/>
              </w:rPr>
            </w:pPr>
          </w:p>
        </w:tc>
      </w:tr>
      <w:tr>
        <w:trPr>
          <w:trHeight w:val="230"/>
        </w:trPr>
        <w:tc>
          <w:tcPr>
            <w:tcW w:w="9160" w:type="dxa"/>
            <w:vAlign w:val="bottom"/>
            <w:gridSpan w:val="2"/>
            <w:vMerge w:val="restart"/>
          </w:tcPr>
          <w:p>
            <w:pPr>
              <w:ind w:left="20"/>
              <w:spacing w:after="0"/>
              <w:rPr>
                <w:sz w:val="20"/>
                <w:szCs w:val="20"/>
                <w:color w:val="auto"/>
              </w:rPr>
            </w:pPr>
            <w:r>
              <w:rPr>
                <w:rFonts w:ascii="Arial" w:cs="Arial" w:eastAsia="Arial" w:hAnsi="Arial"/>
                <w:sz w:val="18"/>
                <w:szCs w:val="18"/>
                <w:color w:val="auto"/>
              </w:rPr>
              <w:t>Cash paid for leases</w:t>
            </w:r>
          </w:p>
        </w:tc>
        <w:tc>
          <w:tcPr>
            <w:tcW w:w="20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November 30, 2021</w:t>
            </w:r>
          </w:p>
        </w:tc>
        <w:tc>
          <w:tcPr>
            <w:tcW w:w="0" w:type="dxa"/>
            <w:vAlign w:val="bottom"/>
          </w:tcPr>
          <w:p>
            <w:pPr>
              <w:spacing w:after="0"/>
              <w:rPr>
                <w:sz w:val="1"/>
                <w:szCs w:val="1"/>
                <w:color w:val="auto"/>
              </w:rPr>
            </w:pPr>
          </w:p>
        </w:tc>
      </w:tr>
      <w:tr>
        <w:trPr>
          <w:trHeight w:val="223"/>
        </w:trPr>
        <w:tc>
          <w:tcPr>
            <w:tcW w:w="9160" w:type="dxa"/>
            <w:vAlign w:val="bottom"/>
            <w:gridSpan w:val="2"/>
            <w:vMerge w:val="continue"/>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8,406</w:t>
            </w:r>
          </w:p>
        </w:tc>
        <w:tc>
          <w:tcPr>
            <w:tcW w:w="0" w:type="dxa"/>
            <w:vAlign w:val="bottom"/>
          </w:tcPr>
          <w:p>
            <w:pPr>
              <w:spacing w:after="0"/>
              <w:rPr>
                <w:sz w:val="1"/>
                <w:szCs w:val="1"/>
                <w:color w:val="auto"/>
              </w:rPr>
            </w:pPr>
          </w:p>
        </w:tc>
      </w:tr>
      <w:tr>
        <w:trPr>
          <w:trHeight w:val="229"/>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recognized for new leases and amendments (non-cash)</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553"/>
        </w:trPr>
        <w:tc>
          <w:tcPr>
            <w:tcW w:w="916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in years and weighted average discount rate are as follows:</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November 30, 2021</w:t>
            </w:r>
          </w:p>
        </w:tc>
        <w:tc>
          <w:tcPr>
            <w:tcW w:w="0" w:type="dxa"/>
            <w:vAlign w:val="bottom"/>
          </w:tcPr>
          <w:p>
            <w:pPr>
              <w:spacing w:after="0"/>
              <w:rPr>
                <w:sz w:val="1"/>
                <w:szCs w:val="1"/>
                <w:color w:val="auto"/>
              </w:rPr>
            </w:pP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539"/>
        </w:trPr>
        <w:tc>
          <w:tcPr>
            <w:tcW w:w="9160" w:type="dxa"/>
            <w:vAlign w:val="bottom"/>
            <w:gridSpan w:val="2"/>
          </w:tcPr>
          <w:p>
            <w:pPr>
              <w:spacing w:after="0"/>
              <w:rPr>
                <w:sz w:val="20"/>
                <w:szCs w:val="20"/>
                <w:color w:val="auto"/>
              </w:rPr>
            </w:pPr>
            <w:r>
              <w:rPr>
                <w:rFonts w:ascii="Arial" w:cs="Arial" w:eastAsia="Arial" w:hAnsi="Arial"/>
                <w:sz w:val="18"/>
                <w:szCs w:val="18"/>
                <w:color w:val="auto"/>
              </w:rPr>
              <w:t>Future payments under non-cancellable leases at November 30, 2021 are as follows (in thousands):</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0" w:type="dxa"/>
            <w:vAlign w:val="bottom"/>
          </w:tcPr>
          <w:p>
            <w:pPr>
              <w:spacing w:after="0"/>
              <w:rPr>
                <w:sz w:val="1"/>
                <w:szCs w:val="1"/>
                <w:color w:val="auto"/>
              </w:rPr>
            </w:pP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29"/>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23"/>
        </w:trPr>
        <w:tc>
          <w:tcPr>
            <w:tcW w:w="9160" w:type="dxa"/>
            <w:vAlign w:val="bottom"/>
            <w:gridSpan w:val="2"/>
          </w:tcPr>
          <w:p>
            <w:pPr>
              <w:ind w:left="220"/>
              <w:spacing w:after="0"/>
              <w:rPr>
                <w:sz w:val="20"/>
                <w:szCs w:val="20"/>
                <w:color w:val="auto"/>
              </w:rPr>
            </w:pPr>
            <w:r>
              <w:rPr>
                <w:rFonts w:ascii="Arial" w:cs="Arial" w:eastAsia="Arial" w:hAnsi="Arial"/>
                <w:sz w:val="18"/>
                <w:szCs w:val="18"/>
                <w:color w:val="auto"/>
              </w:rPr>
              <w:t>Total lease payments</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32,859</w:t>
            </w:r>
          </w:p>
        </w:tc>
        <w:tc>
          <w:tcPr>
            <w:tcW w:w="0" w:type="dxa"/>
            <w:vAlign w:val="bottom"/>
          </w:tcPr>
          <w:p>
            <w:pPr>
              <w:spacing w:after="0"/>
              <w:rPr>
                <w:sz w:val="1"/>
                <w:szCs w:val="1"/>
                <w:color w:val="auto"/>
              </w:rPr>
            </w:pPr>
          </w:p>
        </w:tc>
      </w:tr>
      <w:tr>
        <w:trPr>
          <w:trHeight w:val="229"/>
        </w:trPr>
        <w:tc>
          <w:tcPr>
            <w:tcW w:w="91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Less imputed interest</w:t>
            </w:r>
            <w:r>
              <w:rPr>
                <w:rFonts w:ascii="Arial" w:cs="Arial" w:eastAsia="Arial" w:hAnsi="Arial"/>
                <w:sz w:val="23"/>
                <w:szCs w:val="23"/>
                <w:color w:val="auto"/>
                <w:vertAlign w:val="superscript"/>
              </w:rPr>
              <w:t>(1)</w:t>
            </w:r>
          </w:p>
        </w:tc>
        <w:tc>
          <w:tcPr>
            <w:tcW w:w="6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23"/>
        </w:trPr>
        <w:tc>
          <w:tcPr>
            <w:tcW w:w="9160" w:type="dxa"/>
            <w:vAlign w:val="bottom"/>
            <w:gridSpan w:val="2"/>
          </w:tcPr>
          <w:p>
            <w:pPr>
              <w:ind w:left="220"/>
              <w:spacing w:after="0"/>
              <w:rPr>
                <w:sz w:val="20"/>
                <w:szCs w:val="20"/>
                <w:color w:val="auto"/>
              </w:rPr>
            </w:pPr>
            <w:r>
              <w:rPr>
                <w:rFonts w:ascii="Arial" w:cs="Arial" w:eastAsia="Arial" w:hAnsi="Arial"/>
                <w:sz w:val="18"/>
                <w:szCs w:val="18"/>
                <w:color w:val="auto"/>
              </w:rPr>
              <w:t>Present value of lease liabilities</w:t>
            </w:r>
          </w:p>
        </w:tc>
        <w:tc>
          <w:tcPr>
            <w:tcW w:w="6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31,056</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160" w:firstLine="8"/>
        <w:spacing w:after="0"/>
        <w:tabs>
          <w:tab w:leader="none" w:pos="132" w:val="left"/>
        </w:tabs>
        <w:numPr>
          <w:ilvl w:val="0"/>
          <w:numId w:val="22"/>
        </w:numPr>
        <w:rPr>
          <w:rFonts w:ascii="Arial" w:cs="Arial" w:eastAsia="Arial" w:hAnsi="Arial"/>
          <w:sz w:val="15"/>
          <w:szCs w:val="15"/>
          <w:color w:val="auto"/>
          <w:vertAlign w:val="superscript"/>
        </w:rPr>
      </w:pPr>
      <w:r>
        <w:rPr>
          <w:rFonts w:ascii="Arial" w:cs="Arial" w:eastAsia="Arial" w:hAnsi="Arial"/>
          <w:sz w:val="11"/>
          <w:szCs w:val="11"/>
          <w:color w:val="auto"/>
        </w:rPr>
        <w:t>Lease liabilities are measured at the present value of the remaining lease payments using a discount rate determined at lease commencement unless the discount rate is updated as a result of a lease reassessment event.</w:t>
      </w:r>
    </w:p>
    <w:p>
      <w:pPr>
        <w:spacing w:after="0" w:line="39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operating lease arrangements are subject to customary renewal and base rental fee escalation clauses. Total rent expense, net of sublease income which is insignificant, under operating lease arrangements was approximately $9.3 million, $9.6 million and $8.9 million in fiscal years 2021, 2020 and 2019,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 Obligations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include standard intellectual property indemnification provisions in our licensing agreements in the ordinary course of business. Pursuant to our product license agreements, we will indemnify, hold harmless, and agree to reimburse the indemnified party for losses suffered or incurred by the indemnified party, generally business partners or customers, in connection with certain patent, copyright or other intellectual property infringement claims by third parties with respect to our products. Other agreements with our customers provide indemnification for claims relating to property damage or personal injury resulting from the performance of services by us or our subcontractors. Historically, our costs to defend lawsuits or settle claims relating to such indemnity agreements have been insignificant. Accordingly, the estimated fair value of these indemnification provisions is immaterial.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subject to various legal proceedings and claims, either asserted or unasserted, which arise in the ordinary course of business. While the outcome of these claims cannot be predicted with certainty, management does not believe that the outcome of any of these other legal matters will have a material effect on our financial position,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Board of Directors is authorized to establish one or more series of preferred stock and to fix and determine the number and conditions of preferred shares, including dividend rates, redemption and/or conversion provisions, if any, preferences and voting rights. As of November 30, 2021, there was no preferred stock issued or outstanding.</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200,000,000 shares of authorized common stock, $0.01 par value per share, of which 44,146,193 were issued and outstanding at November 30, 2021.</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were 253,255 deferred stock units ("DSUs") outstanding at November 30, 2021. Each DSU represents one share of our common stock and all DSU grants have been made to non-employee members of our Board of Directors. DSUs do not have voting rights and can only be converted into common stock when the recipient ceases to be a member of the Board of Directors or a change in control of the Company occurs.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January 2020, our Board of Directors increased the total share repurchase authorization from $75.0 million to $250.0 million. In fiscal years 2021 and 2020, we repurchased and retired 0.8 million shares of our common stock for $35.0 million and 1.4 million shares of our common stock for $60.0 million, respectively, under this current authorization. In fiscal year 2019, we repurchased and retired 0.7 million shares of our common stock for $25.0 million. As of November 30, 2021, there was $155.0 million remaining under the current authorization.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began paying quarterly cash dividends of $0.125 per share of common stock to Progress stockholders in December 2016 and have paid quarterly dividends since that time.</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September 21, 2021, our Board of Directors declared a quarterly dividend of $0.175 per share of common stock that was paid on December 15, 2021 to stockholders of record as of the close of business on December 1, 2021. We have declared aggregate per share quarterly cash dividends totaling $0.700, $0.670, and $0.630 for the years ended November 30, 2021, November 30, 2020, and November 30, 2019, respectively. We have paid aggregate cash dividends totaling $31.6 million, $29.9 million, and $27.8 million and for the years ended November 30, 2021, November 30, 2020, and November 30, 2019,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5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currently have one stockholder-approved stock plan from which we can issue stock-based awards, which was approved by our stockholders in fiscal year 2008 ("2008 Plan"). The 2008 Plan replaced the 1992 Incentive and Nonqualified Stock Option Plan, the 1994 Stock Incentive Plan and the 1997 Stock Incentive Plan (collectively, the “Previous Plans”). The Previous Plans solely exist to satisfy outstanding options previously granted under those plans. The 2008 Plan permits the granting of stock awards to officers, members of the Board of Directors, employees and consultants. Awards under the 2008 Plan may include nonqualified stock options, incentive stock options, grants of conditioned or restricted stock, unrestricted grants of stock, grants of stock contingent upon the attainment of performance goals, deferred stock units and stock appreciation rights. In May 2021, stockholders of the Company approved an amendment to the 2008 Plan to add 4,500,000 shares to the plan. A total of 6,534,788 shares were available for issuance as of November 30, 2021.</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adopted two stock plans for which the approval of stockholders was not required: the 2002 Nonqualified Stock Plan ("2002 Plan") and the 2004 Inducement Stock Plan ("2004 Plan"). The 2002 Plan permits the granting of stock awards to non-executive officer employees and consultants. Executive officers and members of the Board of Directors are not eligible for awards under the 2002 Plan. Awards under the 2002 Plan may include nonqualified stock options, grants of conditioned or restricted stock, unrestricted grants of stock, grants of stock contingent upon the attainment of performance goals and stock appreciation rights. A total of 107,329 shares were available for issuance under the 2002 Plan as of November 30, 2021. Additional shares cannot be added to the 2002 Plan without stockholder approval.</w:t>
      </w:r>
    </w:p>
    <w:p>
      <w:pPr>
        <w:spacing w:after="0" w:line="219"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The 2004 Plan is reserved for persons to whom we may issue securities as an inducement to become employed by us pursuant to the rules and regulations of the NASDAQ Stock Market. Awards under the 2004 Plan may include nonqualified stock options, grants of conditioned or restricted stock, unrestricted grants of stock, grants of stock contingent upon the attainment of performance goals and stock appreciation rights. A total of 466,534 shares were available for issuance under the 2004 Plan as of November 30, 2021. Additional shares cannot be added to the 2002 Plan without stockholder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Under all of our plans, the options granted generally begin to vest within one year of the grant.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A summary of stock option activity under all the plans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 Average</w:t>
            </w:r>
          </w:p>
        </w:tc>
        <w:tc>
          <w:tcPr>
            <w:tcW w:w="15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Aggregate Intrinsic</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5"/>
                <w:szCs w:val="15"/>
                <w:color w:val="auto"/>
              </w:rPr>
            </w:pP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0"/>
              </w:rPr>
              <w:t>Weighted Average</w:t>
            </w:r>
          </w:p>
        </w:tc>
        <w:tc>
          <w:tcPr>
            <w:tcW w:w="16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Contractual Term</w:t>
            </w:r>
          </w:p>
        </w:tc>
        <w:tc>
          <w:tcPr>
            <w:tcW w:w="200" w:type="dxa"/>
            <w:vAlign w:val="bottom"/>
          </w:tcPr>
          <w:p>
            <w:pPr>
              <w:spacing w:after="0"/>
              <w:rPr>
                <w:sz w:val="19"/>
                <w:szCs w:val="19"/>
                <w:color w:val="auto"/>
              </w:rPr>
            </w:pPr>
          </w:p>
        </w:tc>
        <w:tc>
          <w:tcPr>
            <w:tcW w:w="1360" w:type="dxa"/>
            <w:vAlign w:val="bottom"/>
          </w:tcPr>
          <w:p>
            <w:pPr>
              <w:jc w:val="center"/>
              <w:ind w:right="90"/>
              <w:spacing w:after="0" w:line="229" w:lineRule="exact"/>
              <w:rPr>
                <w:sz w:val="20"/>
                <w:szCs w:val="20"/>
                <w:color w:val="auto"/>
              </w:rPr>
            </w:pPr>
            <w:r>
              <w:rPr>
                <w:rFonts w:ascii="Arial" w:cs="Arial" w:eastAsia="Arial" w:hAnsi="Arial"/>
                <w:sz w:val="18"/>
                <w:szCs w:val="18"/>
                <w:color w:val="auto"/>
                <w:w w:val="83"/>
              </w:rPr>
              <w:t>Value</w:t>
            </w:r>
            <w:r>
              <w:rPr>
                <w:rFonts w:ascii="Arial" w:cs="Arial" w:eastAsia="Arial" w:hAnsi="Arial"/>
                <w:sz w:val="23"/>
                <w:szCs w:val="23"/>
                <w:color w:val="auto"/>
                <w:w w:val="83"/>
                <w:vertAlign w:val="superscript"/>
              </w:rPr>
              <w:t>(1)</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20"/>
                <w:szCs w:val="20"/>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200" w:type="dxa"/>
            <w:vAlign w:val="bottom"/>
          </w:tcPr>
          <w:p>
            <w:pPr>
              <w:spacing w:after="0"/>
              <w:rPr>
                <w:sz w:val="20"/>
                <w:szCs w:val="20"/>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December 1, 2020</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November 30,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November 30, 2021</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938</w:t>
            </w:r>
          </w:p>
        </w:tc>
        <w:tc>
          <w:tcPr>
            <w:tcW w:w="1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38.84</w:t>
            </w:r>
          </w:p>
        </w:tc>
        <w:tc>
          <w:tcPr>
            <w:tcW w:w="1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or expected to vest, November 30, 2021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16,330</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right="640" w:hanging="332"/>
        <w:spacing w:after="0" w:line="273" w:lineRule="auto"/>
        <w:tabs>
          <w:tab w:leader="none" w:pos="327" w:val="left"/>
        </w:tabs>
        <w:numPr>
          <w:ilvl w:val="0"/>
          <w:numId w:val="23"/>
        </w:numPr>
        <w:rPr>
          <w:rFonts w:ascii="Arial" w:cs="Arial" w:eastAsia="Arial" w:hAnsi="Arial"/>
          <w:sz w:val="9"/>
          <w:szCs w:val="9"/>
          <w:color w:val="auto"/>
        </w:rPr>
      </w:pPr>
      <w:r>
        <w:rPr>
          <w:rFonts w:ascii="Arial" w:cs="Arial" w:eastAsia="Arial" w:hAnsi="Arial"/>
          <w:sz w:val="14"/>
          <w:szCs w:val="14"/>
          <w:color w:val="auto"/>
        </w:rPr>
        <w:t>The aggregate intrinsic value was calculated based on the difference between the closing price of our stock on November 30, 2021 of $48.46 and the exercise prices for all options outstanding.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A summary of restricted stock units' activity is as follows (in thousands, except per share data):</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4"/>
                <w:szCs w:val="24"/>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24"/>
                <w:szCs w:val="24"/>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175"/>
        </w:trPr>
        <w:tc>
          <w:tcPr>
            <w:tcW w:w="84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Average Fair</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19"/>
                <w:szCs w:val="19"/>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9"/>
                <w:szCs w:val="19"/>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outstanding, December 1, 2020</w:t>
            </w:r>
          </w:p>
        </w:tc>
        <w:tc>
          <w:tcPr>
            <w:tcW w:w="1340" w:type="dxa"/>
            <w:vAlign w:val="bottom"/>
            <w:tcBorders>
              <w:top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86"/>
              </w:rPr>
              <w:t>796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830"/>
              <w:spacing w:after="0"/>
              <w:rPr>
                <w:sz w:val="20"/>
                <w:szCs w:val="20"/>
                <w:color w:val="auto"/>
              </w:rPr>
            </w:pPr>
            <w:r>
              <w:rPr>
                <w:rFonts w:ascii="Arial" w:cs="Arial" w:eastAsia="Arial" w:hAnsi="Arial"/>
                <w:sz w:val="18"/>
                <w:szCs w:val="18"/>
                <w:color w:val="auto"/>
                <w:w w:val="86"/>
              </w:rPr>
              <w:t>551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w:t>
            </w:r>
          </w:p>
        </w:tc>
        <w:tc>
          <w:tcPr>
            <w:tcW w:w="134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90"/>
              </w:rPr>
              <w:t>(326)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Canceled</w:t>
            </w:r>
          </w:p>
        </w:tc>
        <w:tc>
          <w:tcPr>
            <w:tcW w:w="13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0"/>
              </w:rPr>
              <w:t>(143)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outstanding, November 30, 2021</w:t>
            </w:r>
          </w:p>
        </w:tc>
        <w:tc>
          <w:tcPr>
            <w:tcW w:w="134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86"/>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Each restricted stock unit represents one share of common stock. The restricted stock units generally vest semi-annually over a three-year period. Performance-based restricted stock units are subject to multi-year performance criteria aligned with our business plan and are earned only to the extent the performance criteria are achieved.</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fair value of outright stock awards, restricted stock units and DSUs is equal to the closing price of our common stock on the date of grant, less the present value of expected dividends when applicable. Beginning in fiscal year 2020, restricted stock units have forfeitable dividend equivalent rights equal to the dividend paid on our common stock.</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During the first quarter of fiscal years 2019, 2020, and 2021, we granted performance-based restricted stock units that include two performance metrics under a Long-Term Incentive Plan (“LTIP”) where the performance measurement period is three years. Vesting of the LTIP awards for the 2019 and 2020 plans is based on the following: (i) 50% is based on achievement of a three-year cumulative performance condition (operating income), and (ii) 50% is based on our level of attainment of specified total stockholder return ("TSR") targets relative to the percentage appreciation of a specified index of companies for the respective three-year periods. For the 2021 plan, the vesting terms were changed to the following: (i) 75% is based on achievement of a three-year cumulative operating income, and (ii) 25% is based on our level of attainment of specified TSR targets relative to the percentage appreciation of a specified index of companies for the respective three-year periods. The vesting of LTIP awards is also subject to continued employment of the grantees. In order to estimate the fair value of such awards, we used a Monte Carlo Simulation valuation model for the market condition portion of the award and used the closing price of our common stock on the date of grant, less the present value of expected dividends when applicable, for the portion related to the performance condition.</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1991 Employee Stock Purchase Plan ("ESPP") permits eligible employees to purchase up to an aggregate of 10,250,000 shares of our common stock through accumulated payroll deductions. The ESPP has a 27-month offering period comprised of nine three-month purchase periods. The purchase price of the stock is equal to 85% of the lesser of the market value of such shares at the beginning of a 27-month offering period or the end of each three-month segment within such offering period. If the market price at any of the nine purchase periods is less than the market price on the first date of the 27-month offering period, subsequent to the purchase, the offering period is canceled and the employee is entered into a new 27-month offering period with the then current market price as the new base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1" w:name="page72"/>
    <w:bookmarkEnd w:id="71"/>
    <w:p>
      <w:pPr>
        <w:jc w:val="both"/>
        <w:ind w:right="420"/>
        <w:spacing w:after="0" w:line="263" w:lineRule="auto"/>
        <w:rPr>
          <w:sz w:val="20"/>
          <w:szCs w:val="20"/>
          <w:color w:val="auto"/>
        </w:rPr>
      </w:pPr>
      <w:r>
        <w:rPr>
          <w:rFonts w:ascii="Arial" w:cs="Arial" w:eastAsia="Arial" w:hAnsi="Arial"/>
          <w:sz w:val="18"/>
          <w:szCs w:val="18"/>
          <w:color w:val="auto"/>
        </w:rPr>
        <w:t>price. We issued 277,000 shares, 237,000 shares, and 189,000 shares with weighted average purchase prices of $28.20, $27.86, and $29.23 per share, respectively, in fiscal years 2021, 2020, and 2019, respectively. At November 30, 2021, approximately 687,000 shares were available and reserved for issuance under the ESPP.</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estimated the fair value of stock options and ESPP awards granted in fiscal years 2021, 2020, and 2019 on the measurement dates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Scholes option valuation model, and LTIP awards using the Monte Carlo Simulation valuation model, with the following weighted average assumptions: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Fiscal Year Ended</w:t>
            </w:r>
          </w:p>
        </w:tc>
        <w:tc>
          <w:tcPr>
            <w:tcW w:w="1480" w:type="dxa"/>
            <w:vAlign w:val="bottom"/>
            <w:tcBorders>
              <w:bottom w:val="single" w:sz="8" w:color="auto"/>
            </w:tcBorders>
          </w:tcPr>
          <w:p>
            <w:pPr>
              <w:spacing w:after="0"/>
              <w:rPr>
                <w:sz w:val="20"/>
                <w:szCs w:val="20"/>
                <w:color w:val="auto"/>
              </w:rPr>
            </w:pPr>
          </w:p>
        </w:tc>
      </w:tr>
      <w:tr>
        <w:trPr>
          <w:trHeight w:val="223"/>
        </w:trPr>
        <w:tc>
          <w:tcPr>
            <w:tcW w:w="656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w w:val="97"/>
              </w:rPr>
              <w:t>November 30, 2021</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30, 2020</w:t>
            </w:r>
          </w:p>
        </w:tc>
        <w:tc>
          <w:tcPr>
            <w:tcW w:w="1480" w:type="dxa"/>
            <w:vAlign w:val="bottom"/>
          </w:tcPr>
          <w:p>
            <w:pPr>
              <w:jc w:val="right"/>
              <w:spacing w:after="0"/>
              <w:rPr>
                <w:sz w:val="20"/>
                <w:szCs w:val="20"/>
                <w:color w:val="auto"/>
              </w:rPr>
            </w:pPr>
            <w:r>
              <w:rPr>
                <w:rFonts w:ascii="Arial" w:cs="Arial" w:eastAsia="Arial" w:hAnsi="Arial"/>
                <w:sz w:val="18"/>
                <w:szCs w:val="18"/>
                <w:color w:val="auto"/>
                <w:w w:val="91"/>
              </w:rPr>
              <w:t>November 30, 2019</w:t>
            </w:r>
          </w:p>
        </w:tc>
      </w:tr>
      <w:tr>
        <w:trPr>
          <w:trHeight w:val="209"/>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656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29.0 %</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29"/>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Risk-free interest rate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6560" w:type="dxa"/>
            <w:vAlign w:val="bottom"/>
          </w:tcPr>
          <w:p>
            <w:pPr>
              <w:ind w:left="360"/>
              <w:spacing w:after="0"/>
              <w:rPr>
                <w:sz w:val="20"/>
                <w:szCs w:val="20"/>
                <w:color w:val="auto"/>
              </w:rPr>
            </w:pPr>
            <w:r>
              <w:rPr>
                <w:rFonts w:ascii="Arial" w:cs="Arial" w:eastAsia="Arial" w:hAnsi="Arial"/>
                <w:sz w:val="18"/>
                <w:szCs w:val="18"/>
                <w:color w:val="auto"/>
              </w:rPr>
              <w:t>Expected life (in years)</w:t>
            </w:r>
          </w:p>
        </w:tc>
        <w:tc>
          <w:tcPr>
            <w:tcW w:w="15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dividend yield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volatility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30.6 %</w:t>
            </w:r>
          </w:p>
        </w:tc>
      </w:tr>
      <w:tr>
        <w:trPr>
          <w:trHeight w:val="230"/>
        </w:trPr>
        <w:tc>
          <w:tcPr>
            <w:tcW w:w="6560" w:type="dxa"/>
            <w:vAlign w:val="bottom"/>
          </w:tcPr>
          <w:p>
            <w:pPr>
              <w:ind w:left="360"/>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life (in years)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560" w:type="dxa"/>
            <w:vAlign w:val="bottom"/>
          </w:tcPr>
          <w:p>
            <w:pPr>
              <w:ind w:left="360"/>
              <w:spacing w:after="0"/>
              <w:rPr>
                <w:sz w:val="20"/>
                <w:szCs w:val="20"/>
                <w:color w:val="auto"/>
              </w:rPr>
            </w:pPr>
            <w:r>
              <w:rPr>
                <w:rFonts w:ascii="Arial" w:cs="Arial" w:eastAsia="Arial" w:hAnsi="Arial"/>
                <w:sz w:val="18"/>
                <w:szCs w:val="18"/>
                <w:color w:val="auto"/>
              </w:rPr>
              <w:t>Expected dividend yield</w:t>
            </w:r>
          </w:p>
        </w:tc>
        <w:tc>
          <w:tcPr>
            <w:tcW w:w="150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incentive plan:</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656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jc w:val="right"/>
              <w:spacing w:after="0"/>
              <w:rPr>
                <w:sz w:val="20"/>
                <w:szCs w:val="20"/>
                <w:color w:val="auto"/>
              </w:rPr>
            </w:pPr>
            <w:r>
              <w:rPr>
                <w:rFonts w:ascii="Arial" w:cs="Arial" w:eastAsia="Arial" w:hAnsi="Arial"/>
                <w:sz w:val="18"/>
                <w:szCs w:val="18"/>
                <w:color w:val="auto"/>
              </w:rPr>
              <w:t>36.3 %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34.7 %</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32.2 %</w:t>
            </w:r>
          </w:p>
        </w:tc>
      </w:tr>
      <w:tr>
        <w:trPr>
          <w:trHeight w:val="23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Risk-free interest rate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6560" w:type="dxa"/>
            <w:vAlign w:val="bottom"/>
          </w:tcPr>
          <w:p>
            <w:pPr>
              <w:ind w:left="360"/>
              <w:spacing w:after="0"/>
              <w:rPr>
                <w:sz w:val="20"/>
                <w:szCs w:val="20"/>
                <w:color w:val="auto"/>
              </w:rPr>
            </w:pPr>
            <w:r>
              <w:rPr>
                <w:rFonts w:ascii="Arial" w:cs="Arial" w:eastAsia="Arial" w:hAnsi="Arial"/>
                <w:sz w:val="18"/>
                <w:szCs w:val="18"/>
                <w:color w:val="auto"/>
              </w:rPr>
              <w:t>Expected life (in years)</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dividend yield</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bl>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each stock option award, the expected life in years is based on historical exercise patterns and post-vesting termination behavior. Expected volatility is based on historical volatility of our stock, and the risk-free interest rate is based on the U.S. Treasury yield curve for the period that is commensurate with the expected life at the time of grant. The expected annual dividend yield is based on the weighted-average of the dividend yield assumptions used for options granted during the applicable period.</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each ESPP award, the expected life in years is based on the period of time between the beginning of the offering period and the date of purchase, plus an additional holding period of three months. Expected volatility is based on historical volatility of our stock, and the risk-free interest rate is based on the U.S. Treasury yield curve in effect at each purchase period. The expected annual dividend yield is based on the weighted-average of the dividend yield assumptions used for options granted during the applicable period.</w:t>
      </w:r>
    </w:p>
    <w:p>
      <w:pPr>
        <w:spacing w:after="0" w:line="21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Based on the above assumptions, the weighted average estimated fair value of stock options granted in fiscal years 2021, 2020, and 2019 was $9.46, $9.59, and $7.38 per share, respectively. We amortize the estimated fair value of stock options to expense over the vesting period using the straight-line method. The weighted average estimated fair value for shares issued under our ESPP in fiscal years 2021, 2020, and 2019 was $11.59, $8.73, and $11.07 per share, respectively. We amortize the estimated fair value of shares issued under the ESPP to expense over the vesting period using a graded vesting model.</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Total unrecognized stock-based compensation expense, net of expected forfeitures, related to unvested stock options and unvested restricted stock awards amounted to $36.5 million at November 30, 2021. These costs are expected to be recognized over a weighted average period of two years.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The following additional activity occurred under our plans (in thousands):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540"/>
        </w:trPr>
        <w:tc>
          <w:tcPr>
            <w:tcW w:w="7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8"/>
              </w:rPr>
              <w:t>Fiscal Year Ended</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69"/>
        </w:trPr>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November 30,</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9" w:lineRule="exact"/>
              <w:rPr>
                <w:sz w:val="20"/>
                <w:szCs w:val="20"/>
                <w:color w:val="auto"/>
              </w:rPr>
            </w:pPr>
            <w:r>
              <w:rPr>
                <w:rFonts w:ascii="Arial" w:cs="Arial" w:eastAsia="Arial" w:hAnsi="Arial"/>
                <w:sz w:val="18"/>
                <w:szCs w:val="18"/>
                <w:color w:val="auto"/>
                <w:w w:val="90"/>
              </w:rPr>
              <w:t>November 30,</w:t>
            </w:r>
          </w:p>
        </w:tc>
        <w:tc>
          <w:tcPr>
            <w:tcW w:w="140" w:type="dxa"/>
            <w:vAlign w:val="bottom"/>
          </w:tcPr>
          <w:p>
            <w:pPr>
              <w:spacing w:after="0"/>
              <w:rPr>
                <w:sz w:val="14"/>
                <w:szCs w:val="14"/>
                <w:color w:val="auto"/>
              </w:rPr>
            </w:pPr>
          </w:p>
        </w:tc>
        <w:tc>
          <w:tcPr>
            <w:tcW w:w="120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0"/>
              </w:rPr>
              <w:t>November 30,</w:t>
            </w:r>
          </w:p>
        </w:tc>
      </w:tr>
      <w:tr>
        <w:trPr>
          <w:trHeight w:val="229"/>
        </w:trPr>
        <w:tc>
          <w:tcPr>
            <w:tcW w:w="70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intrinsic value of stock options on date exercised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Total fair value of deferred stock units on date vested</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1,853</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restricted stock units on date vested</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classification of stock-based compensation as reflected in our consolidated statements of operations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5"/>
              </w:rPr>
              <w:t>Fiscal Year Ended</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November 30,</w:t>
            </w:r>
          </w:p>
        </w:tc>
        <w:tc>
          <w:tcPr>
            <w:tcW w:w="120" w:type="dxa"/>
            <w:vAlign w:val="bottom"/>
          </w:tcPr>
          <w:p>
            <w:pPr>
              <w:spacing w:after="0"/>
              <w:rPr>
                <w:sz w:val="14"/>
                <w:szCs w:val="14"/>
                <w:color w:val="auto"/>
              </w:rPr>
            </w:pPr>
          </w:p>
        </w:tc>
        <w:tc>
          <w:tcPr>
            <w:tcW w:w="132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20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0"/>
              </w:rPr>
              <w:t>November 30,</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maintenance and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10,817</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tax benefit included in the provision for income taxes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20" w:type="dxa"/>
            <w:vAlign w:val="bottom"/>
            <w:vMerge w:val="continue"/>
          </w:tcPr>
          <w:p>
            <w:pPr>
              <w:spacing w:after="0"/>
              <w:rPr>
                <w:sz w:val="17"/>
                <w:szCs w:val="17"/>
                <w:color w:val="auto"/>
              </w:rPr>
            </w:pPr>
          </w:p>
        </w:tc>
        <w:tc>
          <w:tcPr>
            <w:tcW w:w="12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4" w:lineRule="exact"/>
              <w:rPr>
                <w:sz w:val="20"/>
                <w:szCs w:val="20"/>
                <w:color w:val="auto"/>
              </w:rPr>
            </w:pPr>
            <w:r>
              <w:rPr>
                <w:rFonts w:ascii="Arial" w:cs="Arial" w:eastAsia="Arial" w:hAnsi="Arial"/>
                <w:sz w:val="18"/>
                <w:szCs w:val="18"/>
                <w:color w:val="auto"/>
              </w:rPr>
              <w:t>5,281</w:t>
            </w:r>
          </w:p>
        </w:tc>
        <w:tc>
          <w:tcPr>
            <w:tcW w:w="100" w:type="dxa"/>
            <w:vAlign w:val="bottom"/>
          </w:tcPr>
          <w:p>
            <w:pPr>
              <w:spacing w:after="0"/>
              <w:rPr>
                <w:sz w:val="17"/>
                <w:szCs w:val="17"/>
                <w:color w:val="auto"/>
              </w:rPr>
            </w:pPr>
          </w:p>
        </w:tc>
        <w:tc>
          <w:tcPr>
            <w:tcW w:w="120" w:type="dxa"/>
            <w:vAlign w:val="bottom"/>
          </w:tcPr>
          <w:p>
            <w:pPr>
              <w:ind w:left="20"/>
              <w:spacing w:after="0" w:line="204"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4" w:lineRule="exact"/>
              <w:rPr>
                <w:sz w:val="20"/>
                <w:szCs w:val="20"/>
                <w:color w:val="auto"/>
              </w:rPr>
            </w:pPr>
            <w:r>
              <w:rPr>
                <w:rFonts w:ascii="Arial" w:cs="Arial" w:eastAsia="Arial" w:hAnsi="Arial"/>
                <w:sz w:val="18"/>
                <w:szCs w:val="18"/>
                <w:color w:val="auto"/>
              </w:rPr>
              <w:t>4,541</w:t>
            </w:r>
          </w:p>
        </w:tc>
        <w:tc>
          <w:tcPr>
            <w:tcW w:w="100" w:type="dxa"/>
            <w:vAlign w:val="bottom"/>
          </w:tcPr>
          <w:p>
            <w:pPr>
              <w:spacing w:after="0"/>
              <w:rPr>
                <w:sz w:val="17"/>
                <w:szCs w:val="17"/>
                <w:color w:val="auto"/>
              </w:rPr>
            </w:pPr>
          </w:p>
        </w:tc>
        <w:tc>
          <w:tcPr>
            <w:tcW w:w="140" w:type="dxa"/>
            <w:vAlign w:val="bottom"/>
          </w:tcPr>
          <w:p>
            <w:pPr>
              <w:jc w:val="right"/>
              <w:spacing w:after="0" w:line="204"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4" w:lineRule="exact"/>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Retirement Plan</w:t>
      </w:r>
    </w:p>
    <w:p>
      <w:pPr>
        <w:spacing w:after="0" w:line="25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maintain a retirement plan covering all U.S. employees under Section 401(k) of the Internal Revenue Code. Company contributions to the plan are at the discretion of the Board of Directors and totaled approximately $4.0 million, $3.6 million and $2.3 million for fiscal years 2021, 2020 and 2019,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Revenue Recognition</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revenues are derived from licensing our products, and from related services, which consist of maintenance, hosting services, and consulting and education. Information relating to revenue from external customers by revenue type is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6"/>
              </w:rPr>
              <w:t>Fiscal Year Ended</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69"/>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22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1"/>
              </w:rPr>
              <w:t>November 30,</w:t>
            </w:r>
          </w:p>
        </w:tc>
      </w:tr>
      <w:tr>
        <w:trPr>
          <w:trHeight w:val="230"/>
        </w:trPr>
        <w:tc>
          <w:tcPr>
            <w:tcW w:w="6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210"/>
        </w:trPr>
        <w:tc>
          <w:tcPr>
            <w:tcW w:w="6940" w:type="dxa"/>
            <w:vAlign w:val="bottom"/>
          </w:tcPr>
          <w:p>
            <w:pPr>
              <w:ind w:left="20"/>
              <w:spacing w:after="0"/>
              <w:rPr>
                <w:sz w:val="20"/>
                <w:szCs w:val="20"/>
                <w:color w:val="auto"/>
              </w:rPr>
            </w:pPr>
            <w:r>
              <w:rPr>
                <w:rFonts w:ascii="Arial" w:cs="Arial" w:eastAsia="Arial" w:hAnsi="Arial"/>
                <w:sz w:val="18"/>
                <w:szCs w:val="18"/>
                <w:color w:val="auto"/>
              </w:rPr>
              <w:t>Performance obligations transferred at a point in time: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Software licenses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122,552</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Performance obligations transferred over time: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259,006</w:t>
            </w:r>
          </w:p>
        </w:tc>
      </w:tr>
      <w:tr>
        <w:trPr>
          <w:trHeight w:val="230"/>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Services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31,740</w:t>
            </w:r>
          </w:p>
        </w:tc>
      </w:tr>
      <w:tr>
        <w:trPr>
          <w:trHeight w:val="248"/>
        </w:trPr>
        <w:tc>
          <w:tcPr>
            <w:tcW w:w="69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413,298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Geographic Revenue</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following table, revenue attributed to the United States includes sales to customers in the U.S. and sales to certain multinational organizations. Revenue from Canada, EMEA, Latin America and the Asia Pacific region includes sales to customers in each region plus sales from the U.S. to distributors in these regions. Information relating to revenue from external customers from different geographical areas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6"/>
              </w:rPr>
              <w:t>Fiscal Year Ended</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69"/>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22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1"/>
              </w:rPr>
              <w:t>November 30,</w:t>
            </w:r>
          </w:p>
        </w:tc>
      </w:tr>
      <w:tr>
        <w:trPr>
          <w:trHeight w:val="230"/>
        </w:trPr>
        <w:tc>
          <w:tcPr>
            <w:tcW w:w="6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294,947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240,717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213,252</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20,659</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169,335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143,754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137,301</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19,665</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 Pacific</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22,421</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413,298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partner, or country outside of the U.S. has accounted for more than 10% of our consolidated revenue in any year presented.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Unbilled Receivables and Contract Assets</w:t>
      </w:r>
    </w:p>
    <w:p>
      <w:pPr>
        <w:spacing w:after="0" w:line="25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timing of revenue recognition may differ from the timing of customer invoicing. When revenue is recognized prior to invoicing and the right to the amount due from customers is conditioned only on the passage of time, we record an unbilled receivable on our consolidated balance sheets. Our multi-year term license arrangements, which are typically billed annually, result in revenue recognition in advance of invoicing and the recognition of unbilled receivables.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spacing w:after="0"/>
              <w:rPr>
                <w:sz w:val="20"/>
                <w:szCs w:val="20"/>
                <w:color w:val="auto"/>
              </w:rPr>
            </w:pPr>
            <w:r>
              <w:rPr>
                <w:rFonts w:ascii="Arial" w:cs="Arial" w:eastAsia="Arial" w:hAnsi="Arial"/>
                <w:sz w:val="18"/>
                <w:szCs w:val="18"/>
                <w:color w:val="auto"/>
              </w:rPr>
              <w:t>As of November 30, 2021, invoicing of our long-term unbilled receivables is expected to occur as follows (in thousands):</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51"/>
        </w:trPr>
        <w:tc>
          <w:tcPr>
            <w:tcW w:w="978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10,279</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Contract assets, which arise when revenue is recognized prior to invoicing and the right to the amount due from customers is conditioned on something other than the passage of time, such as the completion of a related performance obligation, were $5.0 million and $11.3 million as of November 30, 2021 and November 30, 2020, respectively. These amounts are included in unbilled receivables and contract assets or long-term unbilled receivables and contract assets on our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5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Deferred revenue is recorded when revenue is recognized subsequent to customer invoicing. Deferred revenue expected to be recognized as revenue more than one year subsequent to the balance sheet date is included in long-term liabilities on the consolidated balance sheets. Our deferred revenue balance is primarily made up of deferred maintenance.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spacing w:after="0"/>
              <w:rPr>
                <w:sz w:val="20"/>
                <w:szCs w:val="20"/>
                <w:color w:val="auto"/>
              </w:rPr>
            </w:pPr>
            <w:r>
              <w:rPr>
                <w:rFonts w:ascii="Arial" w:cs="Arial" w:eastAsia="Arial" w:hAnsi="Arial"/>
                <w:sz w:val="18"/>
                <w:szCs w:val="18"/>
                <w:color w:val="auto"/>
              </w:rPr>
              <w:t>As of November 30, 2021, the changes in deferred revenue were as follows (in thousands):</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08"/>
        </w:trPr>
        <w:tc>
          <w:tcPr>
            <w:tcW w:w="9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1, 2020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193,295</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Billings and other</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560,401</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from business combinations</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29,997</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(531,313)</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November 30, 2021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252,380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4" w:name="page75"/>
    <w:bookmarkEnd w:id="74"/>
    <w:p>
      <w:pPr>
        <w:ind w:right="100"/>
        <w:spacing w:after="0" w:line="311" w:lineRule="auto"/>
        <w:rPr>
          <w:sz w:val="20"/>
          <w:szCs w:val="20"/>
          <w:color w:val="auto"/>
        </w:rPr>
      </w:pPr>
      <w:r>
        <w:rPr>
          <w:rFonts w:ascii="Arial" w:cs="Arial" w:eastAsia="Arial" w:hAnsi="Arial"/>
          <w:sz w:val="16"/>
          <w:szCs w:val="16"/>
          <w:color w:val="auto"/>
        </w:rPr>
        <w:t>Transaction price allocated to remaining performance obligations represents contracted revenue that has not yet been recognized, which includes deferred revenue and amounts that will be invoiced and recognized as revenue in future periods. As of November 30, 2021, transaction price allocated to remaining performance obligations was $213.7 million. We expect to recognize approximately 81% of the revenue within the next year and the remainder thereafter.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Contract Costs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Deferred contract costs, which include certain sales incentive programs, are incremental and recoverable costs of obtaining a contract with a customer. Incremental costs of obtaining a contract with a customer are recognized as an asset if the expected benefit of those costs is longer than one year. We have applied the practical expedient to expense costs as incurred for costs to obtain a contract with a customer when the amortization period would have been one year or less. These costs include a large majority of our sales incentive programs as we have determined that annual compensation is commensurate with annual sales activities.</w:t>
      </w:r>
    </w:p>
    <w:p>
      <w:pPr>
        <w:spacing w:after="0" w:line="21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Certain of our sales incentive programs do meet the requirements to be capitalized. Depending upon the sales incentive program and the related revenue arrangement, such capitalized costs are amortized over the longer of (i) the product life, which is generally three to five years; or (ii) the term of the related revenue contract. We determined that a three to five year product life represents the period of benefit that we receive from these incremental costs based on both qualitative and quantitative factors, which include customer contracts, industry norms, and product upgrades. Total deferred contract costs were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$7.9 million, $2.5 million, and $1.7 million as of November 30, 2021, 2020, and 2019, respectively, and are included in other current assets and other assets on our consolidated balance sheets. Amortization of deferred contract costs is included in sales and marketing expense on our consolidated statement of operations and was minimal in all periods presented.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16: Restructuring</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activity for all of the restructuring actions, with material actions detailed further below (in thousands):</w:t>
      </w:r>
    </w:p>
    <w:p>
      <w:pPr>
        <w:spacing w:after="0" w:line="4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Employee</w:t>
      </w:r>
    </w:p>
    <w:tbl>
      <w:tblPr>
        <w:tblLayout w:type="fixed"/>
        <w:tblInd w:w="0" w:type="dxa"/>
        <w:tblCellMar>
          <w:top w:w="0" w:type="dxa"/>
          <w:left w:w="0" w:type="dxa"/>
          <w:bottom w:w="0" w:type="dxa"/>
          <w:right w:w="0" w:type="dxa"/>
        </w:tblCellMar>
      </w:tblPr>
      <w:tr>
        <w:trPr>
          <w:trHeight w:val="160"/>
        </w:trPr>
        <w:tc>
          <w:tcPr>
            <w:tcW w:w="6140" w:type="dxa"/>
            <w:vAlign w:val="bottom"/>
          </w:tcPr>
          <w:p>
            <w:pPr>
              <w:spacing w:after="0"/>
              <w:rPr>
                <w:sz w:val="13"/>
                <w:szCs w:val="13"/>
                <w:color w:val="auto"/>
              </w:rPr>
            </w:pPr>
          </w:p>
        </w:tc>
        <w:tc>
          <w:tcPr>
            <w:tcW w:w="1740" w:type="dxa"/>
            <w:vAlign w:val="bottom"/>
            <w:gridSpan w:val="3"/>
          </w:tcPr>
          <w:p>
            <w:pPr>
              <w:jc w:val="center"/>
              <w:ind w:right="120"/>
              <w:spacing w:after="0" w:line="160" w:lineRule="exact"/>
              <w:rPr>
                <w:sz w:val="20"/>
                <w:szCs w:val="20"/>
                <w:color w:val="auto"/>
              </w:rPr>
            </w:pPr>
            <w:r>
              <w:rPr>
                <w:rFonts w:ascii="Arial" w:cs="Arial" w:eastAsia="Arial" w:hAnsi="Arial"/>
                <w:sz w:val="18"/>
                <w:szCs w:val="18"/>
                <w:color w:val="auto"/>
                <w:w w:val="89"/>
              </w:rPr>
              <w:t>Excess Facilities and</w:t>
            </w:r>
          </w:p>
        </w:tc>
        <w:tc>
          <w:tcPr>
            <w:tcW w:w="160" w:type="dxa"/>
            <w:vAlign w:val="bottom"/>
          </w:tcPr>
          <w:p>
            <w:pPr>
              <w:spacing w:after="0"/>
              <w:rPr>
                <w:sz w:val="13"/>
                <w:szCs w:val="13"/>
                <w:color w:val="auto"/>
              </w:rPr>
            </w:pPr>
          </w:p>
        </w:tc>
        <w:tc>
          <w:tcPr>
            <w:tcW w:w="1580" w:type="dxa"/>
            <w:vAlign w:val="bottom"/>
            <w:gridSpan w:val="2"/>
          </w:tcPr>
          <w:p>
            <w:pPr>
              <w:jc w:val="center"/>
              <w:ind w:right="260"/>
              <w:spacing w:after="0" w:line="160" w:lineRule="exact"/>
              <w:rPr>
                <w:sz w:val="20"/>
                <w:szCs w:val="20"/>
                <w:color w:val="auto"/>
              </w:rPr>
            </w:pPr>
            <w:r>
              <w:rPr>
                <w:rFonts w:ascii="Arial" w:cs="Arial" w:eastAsia="Arial" w:hAnsi="Arial"/>
                <w:sz w:val="18"/>
                <w:szCs w:val="18"/>
                <w:color w:val="auto"/>
                <w:w w:val="85"/>
              </w:rPr>
              <w:t>Severance and</w:t>
            </w:r>
          </w:p>
        </w:tc>
        <w:tc>
          <w:tcPr>
            <w:tcW w:w="360" w:type="dxa"/>
            <w:vAlign w:val="bottom"/>
          </w:tcPr>
          <w:p>
            <w:pPr>
              <w:spacing w:after="0"/>
              <w:rPr>
                <w:sz w:val="13"/>
                <w:szCs w:val="13"/>
                <w:color w:val="auto"/>
              </w:rPr>
            </w:pPr>
          </w:p>
        </w:tc>
        <w:tc>
          <w:tcPr>
            <w:tcW w:w="1260" w:type="dxa"/>
            <w:vAlign w:val="bottom"/>
            <w:vMerge w:val="restart"/>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Other Costs</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Related Benefits</w:t>
            </w: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1, 2018</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disbursements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adjustments and 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November 30, 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disbursements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adjustments and 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November 30, 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disbursements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adjustments and 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November 30,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Restructurings</w:t>
      </w:r>
    </w:p>
    <w:p>
      <w:pPr>
        <w:spacing w:after="0" w:line="25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During the fourth quarter of fiscal year 2021, we restructured our operations in connection with the acquisition of Kemp. Refer to Note 8: Business Combinations for further discussion. This restructuring resulted in a reduction in redundant positions, primarily within the administrative functions of Kemp.</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fiscal year ended November 30, 2021, we incurred expenses of $2.0 million related to this restructuring. The expenses are recorded as restructuring expenses in the 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8"/>
                <w:szCs w:val="18"/>
                <w:color w:val="auto"/>
              </w:rPr>
            </w:pPr>
          </w:p>
        </w:tc>
        <w:tc>
          <w:tcPr>
            <w:tcW w:w="1740" w:type="dxa"/>
            <w:vAlign w:val="bottom"/>
            <w:gridSpan w:val="3"/>
            <w:vMerge w:val="restart"/>
          </w:tcPr>
          <w:p>
            <w:pPr>
              <w:ind w:left="60"/>
              <w:spacing w:after="0"/>
              <w:rPr>
                <w:sz w:val="20"/>
                <w:szCs w:val="20"/>
                <w:color w:val="auto"/>
              </w:rPr>
            </w:pPr>
            <w:r>
              <w:rPr>
                <w:rFonts w:ascii="Arial" w:cs="Arial" w:eastAsia="Arial" w:hAnsi="Arial"/>
                <w:sz w:val="18"/>
                <w:szCs w:val="18"/>
                <w:color w:val="auto"/>
                <w:w w:val="98"/>
              </w:rPr>
              <w:t>Excess Facilities and</w:t>
            </w: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Employee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1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5"/>
              </w:rPr>
              <w:t>Severance and</w:t>
            </w:r>
          </w:p>
        </w:tc>
        <w:tc>
          <w:tcPr>
            <w:tcW w:w="36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Other Costs</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Related Benefits</w:t>
            </w: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1, 2020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24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disbursements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Translation adjustments and other</w:t>
            </w:r>
          </w:p>
        </w:tc>
        <w:tc>
          <w:tcPr>
            <w:tcW w:w="24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November 30, 2021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Cash disbursements for expenses incurred to date under this restructuring are expected to be made through fiscal year 2022. Accordingly, the balance of the restructuring reserve of $1.9 million is included in other accrued liabilities on the consolidated balance sheet at November 30, 2021.</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expect to incur additional expenses as part of this action related to employee costs and facility closures as we consolidate offices in various locations during fiscal year 2022, but we do not expect these costs to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Restructurings</w:t>
      </w:r>
    </w:p>
    <w:p>
      <w:pPr>
        <w:spacing w:after="0" w:line="2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fourth quarter of fiscal year 2020, we restructured our operations in connection with the acquisition of Chef. Refer to Note 8: Business Combinations for further discussion. This restructuring resulted in a reduction in redundant positions, primarily within the administrative functions of Chef.</w:t>
      </w:r>
    </w:p>
    <w:p>
      <w:pPr>
        <w:spacing w:after="0" w:line="15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fiscal years ended November 30, 2021 and November 30, 2020, we incurred expenses of $4.1 million and $3.9 million, respectively, related to this restructuring. The expenses are recorded as restructuring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w w:val="99"/>
              </w:rPr>
              <w:t>A summary of activity for this restructuring action is as follows (in thousands):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140" w:type="dxa"/>
            <w:vAlign w:val="bottom"/>
          </w:tcPr>
          <w:p>
            <w:pPr>
              <w:spacing w:after="0"/>
              <w:rPr>
                <w:sz w:val="24"/>
                <w:szCs w:val="24"/>
                <w:color w:val="auto"/>
              </w:rPr>
            </w:pPr>
          </w:p>
        </w:tc>
        <w:tc>
          <w:tcPr>
            <w:tcW w:w="174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89"/>
              </w:rPr>
              <w:t>Excess Facilities and</w:t>
            </w:r>
          </w:p>
        </w:tc>
        <w:tc>
          <w:tcPr>
            <w:tcW w:w="160" w:type="dxa"/>
            <w:vAlign w:val="bottom"/>
          </w:tcPr>
          <w:p>
            <w:pPr>
              <w:spacing w:after="0"/>
              <w:rPr>
                <w:sz w:val="24"/>
                <w:szCs w:val="2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Employee</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1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5"/>
              </w:rPr>
              <w:t>Severance and</w:t>
            </w:r>
          </w:p>
        </w:tc>
        <w:tc>
          <w:tcPr>
            <w:tcW w:w="36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Other Costs</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Related Benefits</w:t>
            </w: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1, 2019</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disbursements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Translation adjustments and other</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November 30, 2020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disbursements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adjustments and 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November 30,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Cash disbursements for expenses incurred to date under this restructuring are expected to be made through fiscal year 2027. Accordingly, the balance of the restructuring reserve of $4.5 million is included in other accrued liabilities, and short-term and long-term lease liabilities on the consolidated balance sheet at November 30, 2021.</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expect to incur additional expenses as part of this action related to employee costs and facility closures as we consolidate offices in various locations during fiscal year 2022, but we do not expect these costs to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Restructurings</w:t>
      </w:r>
    </w:p>
    <w:p>
      <w:pPr>
        <w:spacing w:after="0" w:line="25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the fourth quarter of fiscal year 2019, we announced the reduction of our current and ongoing spending level within our cognitive application product lines, which consist primarily of our DataRPM and Kinvey products. This restructuring resulted in a reduction in positions primarily within the product development function. In connection with this restructuring action, during the fourth quarter of fiscal year 2019, we evaluated the ongoing value of the intangible assets primarily associated with the technologies and trade names obtained in the acquisitions of DataRPM and Kinvey. As a result, we wrote down these assets to fair value, which resulted in a $22.7 million asset impairment charge.</w:t>
      </w:r>
    </w:p>
    <w:p>
      <w:pPr>
        <w:spacing w:after="0" w:line="20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Restructuring expenses are related to employee costs, including severance, health benefits and outplacement services (but excluding stock-based compensation).</w:t>
      </w:r>
    </w:p>
    <w:p>
      <w:pPr>
        <w:spacing w:after="0" w:line="19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For the fiscal year ended November 30, 2021, we incurred minimal expenses related to this restructuring. For the fiscal years ended November 30, 2020 and 2019, we incurred expenses of $0.1 million and $2.5 million, respectively, related to this restructuring. The expenses are recorded as restructuring expenses in the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w w:val="99"/>
              </w:rPr>
              <w:t>A summary of activity for this restructuring action is as follows (in thousands):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1740" w:type="dxa"/>
            <w:vAlign w:val="bottom"/>
            <w:gridSpan w:val="3"/>
            <w:vMerge w:val="restart"/>
          </w:tcPr>
          <w:p>
            <w:pPr>
              <w:ind w:left="60"/>
              <w:spacing w:after="0"/>
              <w:rPr>
                <w:sz w:val="20"/>
                <w:szCs w:val="20"/>
                <w:color w:val="auto"/>
              </w:rPr>
            </w:pPr>
            <w:r>
              <w:rPr>
                <w:rFonts w:ascii="Arial" w:cs="Arial" w:eastAsia="Arial" w:hAnsi="Arial"/>
                <w:sz w:val="18"/>
                <w:szCs w:val="18"/>
                <w:color w:val="auto"/>
                <w:w w:val="98"/>
              </w:rPr>
              <w:t>Excess Facilities and</w:t>
            </w:r>
          </w:p>
        </w:tc>
        <w:tc>
          <w:tcPr>
            <w:tcW w:w="160" w:type="dxa"/>
            <w:vAlign w:val="bottom"/>
          </w:tcPr>
          <w:p>
            <w:pPr>
              <w:spacing w:after="0"/>
              <w:rPr>
                <w:sz w:val="17"/>
                <w:szCs w:val="17"/>
                <w:color w:val="auto"/>
              </w:rPr>
            </w:pPr>
          </w:p>
        </w:tc>
        <w:tc>
          <w:tcPr>
            <w:tcW w:w="158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89"/>
              </w:rPr>
              <w:t>Employee</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1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5"/>
              </w:rPr>
              <w:t>Severance and</w:t>
            </w:r>
          </w:p>
        </w:tc>
        <w:tc>
          <w:tcPr>
            <w:tcW w:w="36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Other Costs</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Related Benefits</w:t>
            </w: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1, 2018</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24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disbursements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Translation adjustments and other</w:t>
            </w:r>
          </w:p>
        </w:tc>
        <w:tc>
          <w:tcPr>
            <w:tcW w:w="24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1, 2019</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24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disbursements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Balance, November 30, 2020</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Cash disbursements</w:t>
            </w:r>
          </w:p>
        </w:tc>
        <w:tc>
          <w:tcPr>
            <w:tcW w:w="24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November 30, 2021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color w:val="auto"/>
        </w:rPr>
        <w:t>We do not expect to incur additional material costs with respect to this restructuring.</w:t>
      </w:r>
    </w:p>
    <w:p>
      <w:pPr>
        <w:spacing w:after="0" w:line="252"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During the second quarter of fiscal year 2019, we restructured our operations in connection with the acquisition of Ipswitch. Refer to Note 8: Business Combinations for further discussion. This restructuring resulted in a reduction in redundant positions, primarily within the administrative functions of Ipswitch.</w:t>
      </w:r>
    </w:p>
    <w:p>
      <w:pPr>
        <w:spacing w:after="0" w:line="2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For the fiscal year ended November 30, 2021, we incurred minimal expenses related to this restructuring. For the fiscal years ended November 30, 2020 and 2019, we incurred expenses of $1.5 million and $3.1 million, respectively, related to this restructuring. The expenses are recorded as restructuring expenses in the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color w:val="auto"/>
                <w:w w:val="99"/>
              </w:rPr>
              <w:t>A summary of activity for this restructuring action is as follows (in thousands):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rPr>
                <w:sz w:val="17"/>
                <w:szCs w:val="17"/>
                <w:color w:val="auto"/>
              </w:rPr>
            </w:pPr>
          </w:p>
        </w:tc>
        <w:tc>
          <w:tcPr>
            <w:tcW w:w="174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Excess Facilities and</w:t>
            </w:r>
          </w:p>
        </w:tc>
        <w:tc>
          <w:tcPr>
            <w:tcW w:w="160" w:type="dxa"/>
            <w:vAlign w:val="bottom"/>
          </w:tcPr>
          <w:p>
            <w:pPr>
              <w:spacing w:after="0"/>
              <w:rPr>
                <w:sz w:val="17"/>
                <w:szCs w:val="17"/>
                <w:color w:val="auto"/>
              </w:rPr>
            </w:pPr>
          </w:p>
        </w:tc>
        <w:tc>
          <w:tcPr>
            <w:tcW w:w="158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89"/>
              </w:rPr>
              <w:t>Employee</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12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5"/>
              </w:rPr>
              <w:t>Severance and</w:t>
            </w:r>
          </w:p>
        </w:tc>
        <w:tc>
          <w:tcPr>
            <w:tcW w:w="380" w:type="dxa"/>
            <w:vAlign w:val="bottom"/>
          </w:tcPr>
          <w:p>
            <w:pPr>
              <w:spacing w:after="0"/>
              <w:rPr>
                <w:sz w:val="15"/>
                <w:szCs w:val="15"/>
                <w:color w:val="auto"/>
              </w:rPr>
            </w:pPr>
          </w:p>
        </w:tc>
        <w:tc>
          <w:tcPr>
            <w:tcW w:w="1260" w:type="dxa"/>
            <w:vAlign w:val="bottom"/>
            <w:vMerge w:val="restart"/>
          </w:tcPr>
          <w:p>
            <w:pPr>
              <w:jc w:val="right"/>
              <w:ind w:right="5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6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Other Costs</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Related Benefits</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1, 2018</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disbursements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Translation adjustments and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1, 2019</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disbursements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 and other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Balance, November 30, 2020</w:t>
            </w: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Cash disbursements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 and other</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Balance, November 30, 2021</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to incur additional material costs with respect to this restructuring.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are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6"/>
              </w:rPr>
              <w:t>Fiscal Year Ended</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November 30,</w:t>
            </w:r>
          </w:p>
        </w:tc>
        <w:tc>
          <w:tcPr>
            <w:tcW w:w="12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90"/>
              </w:rPr>
              <w:t>November 30,</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8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(11,778)</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7"/>
              </w:rPr>
              <w:t>40,273</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87"/>
              </w:rPr>
              <w:t>28,495</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306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6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The provision for income taxes is comprised of the following (in thousands):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40"/>
        </w:trPr>
        <w:tc>
          <w:tcPr>
            <w:tcW w:w="6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6"/>
              </w:rPr>
              <w:t>Fiscal Year Ended</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69"/>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22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1"/>
              </w:rPr>
              <w:t>November 30,</w:t>
            </w:r>
          </w:p>
        </w:tc>
      </w:tr>
      <w:tr>
        <w:trPr>
          <w:trHeight w:val="229"/>
        </w:trPr>
        <w:tc>
          <w:tcPr>
            <w:tcW w:w="69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6940" w:type="dxa"/>
            <w:vAlign w:val="bottom"/>
          </w:tcPr>
          <w:p>
            <w:pPr>
              <w:ind w:left="360"/>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11,964</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12,294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9,294</w:t>
            </w:r>
          </w:p>
        </w:tc>
      </w:tr>
      <w:tr>
        <w:trPr>
          <w:trHeight w:val="229"/>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r>
      <w:tr>
        <w:trPr>
          <w:trHeight w:val="230"/>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16,964</w:t>
            </w:r>
          </w:p>
        </w:tc>
      </w:tr>
      <w:tr>
        <w:trPr>
          <w:trHeight w:val="210"/>
        </w:trPr>
        <w:tc>
          <w:tcPr>
            <w:tcW w:w="6940" w:type="dxa"/>
            <w:vAlign w:val="bottom"/>
          </w:tcPr>
          <w:p>
            <w:pPr>
              <w:ind w:left="20"/>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(12,191)</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(2,399)</w:t>
            </w:r>
          </w:p>
        </w:tc>
      </w:tr>
      <w:tr>
        <w:trPr>
          <w:trHeight w:val="229"/>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(14,869)</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income taxes incurred at the U.S. Federal statutory rate compared to the effective tax rate is as follows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6"/>
              </w:rPr>
              <w:t>Fiscal Year Ended</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22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1"/>
              </w:rPr>
              <w:t>November 30,</w:t>
            </w:r>
          </w:p>
        </w:tc>
        <w:tc>
          <w:tcPr>
            <w:tcW w:w="0" w:type="dxa"/>
            <w:vAlign w:val="bottom"/>
          </w:tcPr>
          <w:p>
            <w:pPr>
              <w:spacing w:after="0"/>
              <w:rPr>
                <w:sz w:val="1"/>
                <w:szCs w:val="1"/>
                <w:color w:val="auto"/>
              </w:rPr>
            </w:pPr>
          </w:p>
        </w:tc>
      </w:tr>
      <w:tr>
        <w:trPr>
          <w:trHeight w:val="229"/>
        </w:trPr>
        <w:tc>
          <w:tcPr>
            <w:tcW w:w="6940" w:type="dxa"/>
            <w:vAlign w:val="bottom"/>
            <w:vMerge w:val="restart"/>
          </w:tcPr>
          <w:p>
            <w:pPr>
              <w:ind w:left="20"/>
              <w:spacing w:after="0"/>
              <w:rPr>
                <w:sz w:val="20"/>
                <w:szCs w:val="20"/>
                <w:color w:val="auto"/>
              </w:rPr>
            </w:pPr>
            <w:r>
              <w:rPr>
                <w:rFonts w:ascii="Arial" w:cs="Arial" w:eastAsia="Arial" w:hAnsi="Arial"/>
                <w:sz w:val="18"/>
                <w:szCs w:val="18"/>
                <w:color w:val="auto"/>
              </w:rPr>
              <w:t>Tax at U.S. Federal statutory rate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20,062</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20,293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differences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Effects of foreign operations included in U.S. Federal provision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Research credits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production activities deduction</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Tax-exempt interest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stock-based compensation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Meals and entertainment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subject to 162(m)</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Uncertain tax positions and tax settlements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excess tax benefit or detriment from stock-based compensation plans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Global intangible low tax inclusion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derived intangible deduction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effective income tax rate is based on the income for the year, the composition of the income in different countries, changes related to valuation allowances and adjustments, if any, for the potential tax consequences or benefits of audits or other tax contingencies. Our aggregate income tax rate in foreign jurisdictions is lower than our effective income tax rate in the United States. The majority of our income before provision for income taxes from foreign operations has been earned by our subsidiary in Bulgaria that is taxed at a 10% tax rate.</w:t>
      </w:r>
    </w:p>
    <w:p>
      <w:pPr>
        <w:spacing w:after="0" w:line="19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United States income before provision for income taxes was at a deficit for fiscal year 2019 largely due to increased expense for amortization of acquired intangibles and due to an impairment expense of intangibles and long-lived assets.</w:t>
      </w:r>
    </w:p>
    <w:p>
      <w:pPr>
        <w:spacing w:after="0" w:line="197"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During the first quarter of fiscal year 2018, the Tax Cuts and Jobs Act (the "Act") was enacted in the United States. The Act reduced the U.S. federal corporate tax rate from 35% to 21% effective January 1, 2018, moved to a territorial tax system and eliminated the domestic production activities deduction.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9" w:name="page80"/>
    <w:bookmarkEnd w:id="79"/>
    <w:p>
      <w:pPr>
        <w:ind w:right="560"/>
        <w:spacing w:after="0" w:line="263" w:lineRule="auto"/>
        <w:rPr>
          <w:sz w:val="20"/>
          <w:szCs w:val="20"/>
          <w:color w:val="auto"/>
        </w:rPr>
      </w:pPr>
      <w:r>
        <w:rPr>
          <w:rFonts w:ascii="Arial" w:cs="Arial" w:eastAsia="Arial" w:hAnsi="Arial"/>
          <w:sz w:val="18"/>
          <w:szCs w:val="18"/>
          <w:color w:val="auto"/>
        </w:rPr>
        <w:t>Certain international provisions of the Act became effective in fiscal year 2019 for the Company. The global intangible low-taxed income ("GILTI") provisions require the Company to include in its U.S. income tax base foreign subsidiary earnings in excess of an allowable return of the foreign subsidiary's tangible assets.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The components of deferred tax assets and liabilities are as follows (in thousands):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color w:val="auto"/>
                <w:w w:val="91"/>
              </w:rPr>
              <w:t>November 30,</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color w:val="auto"/>
                <w:w w:val="91"/>
              </w:rPr>
              <w:t>November 30,</w:t>
            </w:r>
          </w:p>
        </w:tc>
        <w:tc>
          <w:tcPr>
            <w:tcW w:w="0" w:type="dxa"/>
            <w:vAlign w:val="bottom"/>
          </w:tcPr>
          <w:p>
            <w:pPr>
              <w:spacing w:after="0"/>
              <w:rPr>
                <w:sz w:val="1"/>
                <w:szCs w:val="1"/>
                <w:color w:val="auto"/>
              </w:rPr>
            </w:pPr>
          </w:p>
        </w:tc>
      </w:tr>
      <w:tr>
        <w:trPr>
          <w:trHeight w:val="229"/>
        </w:trPr>
        <w:tc>
          <w:tcPr>
            <w:tcW w:w="8400" w:type="dxa"/>
            <w:vAlign w:val="bottom"/>
            <w:vMerge w:val="restart"/>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84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 and other</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Original issue discount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 and loss carryforwards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42,189</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tax assets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69,098</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Valuation allowance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59,222</w:t>
            </w:r>
          </w:p>
        </w:tc>
        <w:tc>
          <w:tcPr>
            <w:tcW w:w="0" w:type="dxa"/>
            <w:vAlign w:val="bottom"/>
          </w:tcPr>
          <w:p>
            <w:pPr>
              <w:spacing w:after="0"/>
              <w:rPr>
                <w:sz w:val="1"/>
                <w:szCs w:val="1"/>
                <w:color w:val="auto"/>
              </w:rPr>
            </w:pPr>
          </w:p>
        </w:tc>
      </w:tr>
      <w:tr>
        <w:trPr>
          <w:trHeight w:val="209"/>
        </w:trPr>
        <w:tc>
          <w:tcPr>
            <w:tcW w:w="84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Right-of-use lease assets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(15,924)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Notes payable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(44,746)</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valuation allowance primarily applies to net operating loss carryforwards and unutilized tax credits in foreign jurisdictions under conditions where realization is not more likely than not. The $2.6 million decrease in the valuation allowance during fiscal year 2021 primarily relates to losses in a foreign subsidiary that have expired prior to utilization. The $1.0 million increase in the valuation allowance during fiscal year 2020 primarily relates to the currency revaluation of foreign net operating losses which have a valuation allowance recorded against them. The $0.1 million increase in the valuation allowance during fiscal year 2019 primarily relates to acquired foreign net operating losses which have a valuation allowance recorded against them.</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At November 30, 2021, we have federal and foreign net operating loss carryforwards of $130.1 million expiring on various dates through 2036 and</w:t>
      </w:r>
    </w:p>
    <w:p>
      <w:pPr>
        <w:spacing w:after="0" w:line="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$26.6 million that do not expire. In addition, we have state net operating loss carryforwards of $49.7 million expiring on various dates through 2044 and a minimal amount that does not expire. At November 30, 2021, we have state tax credit carryforwards of approximately $3.7 million expiring on various dates through 2036 and $2.4 million that may be carried forward indefinitely. In addition, we have federal tax credit carryforwards of approximately $5.9 million expiring on various dates through 2039.</w:t>
      </w: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It is our intention to indefinitely reinvest the earnings of our non-U.S. subsidiaries. We have not provided for U.S. income taxes on the undistributed earnings of non-U.S. subsidiaries, which totaled $98.4 million as of November 30, 2021, as these earnings have been indefinitely reinvested. It is not practicable to determine the amount of the unrecognized deferred tax liability if the undistributed earnings were to be repatriated due to the complexity of the income tax laws and regulations and the effects of the Act. These earnings could be subject to non-U.S. withholding taxes and other federal, state and/or foreign taxes if they were remitted to the U.S.</w:t>
      </w:r>
    </w:p>
    <w:p>
      <w:pPr>
        <w:spacing w:after="0" w:line="21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November 30, 2021, the total amount of unrecognized tax benefits was $5.5 million, of which $1.5 million was recorded in other noncurrent liabilities on the consolidated balance sheet and $4.0 million of deferred tax assets, principally related to U.S net operating loss carry-forwards and federal and state research and development tax credits, have not been recorded.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color w:val="auto"/>
                <w:w w:val="95"/>
              </w:rPr>
              <w:t>A reconciliation of the balance of our unrecognized tax benefits is as follows (in thousands):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40"/>
        </w:trPr>
        <w:tc>
          <w:tcPr>
            <w:tcW w:w="6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6"/>
              </w:rPr>
              <w:t>Fiscal Year Ended</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69"/>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22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1"/>
              </w:rPr>
              <w:t>November 30,</w:t>
            </w:r>
          </w:p>
        </w:tc>
      </w:tr>
      <w:tr>
        <w:trPr>
          <w:trHeight w:val="229"/>
        </w:trPr>
        <w:tc>
          <w:tcPr>
            <w:tcW w:w="69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Tax positions related to current period</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positions related to a prior period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Tax positions acquired</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with tax authorities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Lapses due to expiration of the statute of limitations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If recognized, all amounts of unrecognized tax benefits would affect the effective tax rate.</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recognize interest and penalties related to uncertain tax positions as a component of our provision for income taxes. In fiscal year 2021 a net expense of $0.8 million was recorded to the provision for income taxes related to estimated interest and penalties. In fiscal years 2020 and 2019 there was a minimal amount of estimated interest and penalties recorded in the provision for income taxes. We have accrued $1.2 million and $0.4 million of estimated interest and penalties at November 30, 2021 and 2020, respectively. We do not expect any significant changes to the amount of unrecognized tax benefits in the next twelve months.</w:t>
      </w:r>
    </w:p>
    <w:p>
      <w:pPr>
        <w:spacing w:after="0" w:line="21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Our federal income tax returns have been examined or are closed by statute for all years prior to fiscal year 2018. Our state income tax returns have been examined or are closed by statute for all years prior to fiscal year 2017, and we are no longer subject to audit for those periods.</w:t>
      </w:r>
    </w:p>
    <w:p>
      <w:pPr>
        <w:spacing w:after="0" w:line="17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Tax authorities for certain non-U.S. jurisdictions are also examining tax returns and the Company does not expect the results of these examinations to be material to our consolidated balance sheets, cash flows or statements of income. With some exceptions, we are generally no longer subject to tax examinations in non-U.S. jurisdictions for years prior to fiscal year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Earnings Per Share</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compute basic earnings per share using the weighted average number of common shares outstanding. We compute diluted earnings per share using the weighted average number of common shares outstanding plus the effect of outstanding dilutive stock options, restricted stock units and deferred stock units, using the treasury stock method. The following table sets forth the calculation of basic and diluted earnings per share from continuing operations (in thousands, expect per share data):</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6"/>
              </w:rPr>
              <w:t>Fiscal Year Ended</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November 30,</w:t>
            </w:r>
          </w:p>
        </w:tc>
        <w:tc>
          <w:tcPr>
            <w:tcW w:w="140" w:type="dxa"/>
            <w:vAlign w:val="bottom"/>
          </w:tcPr>
          <w:p>
            <w:pPr>
              <w:spacing w:after="0"/>
              <w:rPr>
                <w:sz w:val="14"/>
                <w:szCs w:val="14"/>
                <w:color w:val="auto"/>
              </w:rPr>
            </w:pPr>
          </w:p>
        </w:tc>
        <w:tc>
          <w:tcPr>
            <w:tcW w:w="122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1"/>
              </w:rPr>
              <w:t>November 30,</w:t>
            </w:r>
          </w:p>
        </w:tc>
        <w:tc>
          <w:tcPr>
            <w:tcW w:w="0" w:type="dxa"/>
            <w:vAlign w:val="bottom"/>
          </w:tcPr>
          <w:p>
            <w:pPr>
              <w:spacing w:after="0"/>
              <w:rPr>
                <w:sz w:val="1"/>
                <w:szCs w:val="1"/>
                <w:color w:val="auto"/>
              </w:rPr>
            </w:pPr>
          </w:p>
        </w:tc>
      </w:tr>
      <w:tr>
        <w:trPr>
          <w:trHeight w:val="230"/>
        </w:trPr>
        <w:tc>
          <w:tcPr>
            <w:tcW w:w="6940" w:type="dxa"/>
            <w:vAlign w:val="bottom"/>
            <w:vMerge w:val="restart"/>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78,420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79,722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26,400</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from common stock equivalents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45,340</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excluded stock awards representing approximately 1,232,000 shares, 1,268,000 shares, and 932,000 shares of common stock from the calculation of diluted earnings per share in the fiscal years ended November 30, 2021, 2020 and 2019, respectively, because these awards were anti-dilutive.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Business Segments and International Operations</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Operating segments are components of an enterprise that engage in business activities for which discrete financial information is available and regularly reviewed by the chief operating decision maker ("CODM") in deciding how to allocate resources and assess performance. Our CODM is our Chief Executive Officer.</w:t>
      </w:r>
    </w:p>
    <w:p>
      <w:pPr>
        <w:sectPr>
          <w:pgSz w:w="11900" w:h="16838" w:orient="portrait"/>
          <w:cols w:equalWidth="0" w:num="1">
            <w:col w:w="11240"/>
          </w:cols>
          <w:pgMar w:left="320" w:top="773"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1" w:name="page82"/>
    <w:bookmarkEnd w:id="81"/>
    <w:p>
      <w:pPr>
        <w:jc w:val="both"/>
        <w:ind w:right="140"/>
        <w:spacing w:after="0" w:line="263" w:lineRule="auto"/>
        <w:rPr>
          <w:sz w:val="20"/>
          <w:szCs w:val="20"/>
          <w:color w:val="auto"/>
        </w:rPr>
      </w:pPr>
      <w:r>
        <w:rPr>
          <w:rFonts w:ascii="Arial" w:cs="Arial" w:eastAsia="Arial" w:hAnsi="Arial"/>
          <w:sz w:val="18"/>
          <w:szCs w:val="18"/>
          <w:color w:val="auto"/>
        </w:rPr>
        <w:t>Beginning in the second quarter of fiscal year 2021, we operate as one operating segment: software products to develop, deploy, and manage high-impact applications. Our CODM evaluates financial information on a consolidated basis. As we operate as one operating segment, the required financial segment information can be found in the condensed consolidated financial statements.</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Long-lived assets totaled $22.1 million, $22.8 million and $25.7 million in the U.S. and $7.5 million, $7.0 million and $4.1 million outside of the U.S. at the end of fiscal years 2021, 2020, and 2019, respectively. No individual country outside of the U.S. accounted for more than 10% of our consolidated long-lived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January 25, 2022, we entered into an amended credit agreement providing for a $275.0 million secured term loan and a $300.0 million secured revolving credit facility. The revolving credit facility may be increased, and new term loan commitments may be entered into, by up to an additional amount up to the sum of (A) the greater of (x) $260.0 million and (y) 100% of our consolidated EBITDA and (B) an unlimited additional amount subject to pro forma compliance with a consolidated senior secured net leverage ratio of no greater than 3.75 to 1.00 if the existing or additional lenders are willing to make such increased commitments. This new credit facility replaces our existing secured credit facility dated April 30, 2019.</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amount of the term loan outstanding under our existing secured credit facility was incorporated into the amended and restated credit facility.</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management maintains disclosure controls and procedures as defined in Rule 13a-15(e) and 15d-15(e) under the Securities and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spacing w:after="0" w:line="20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management, including the Chief Executive Officer and Chief Financial Officer, carried out an evaluation of the effectiveness of our disclosure controls and procedures as of the end of the period covered by this report. Based on this evaluation, our Chief Executive Officer and Chief Financial Officer concluded that our disclosure controls and procedures were effective to ensure that the information required to be disclosed in the reports filed or submitted by us under the Securities Exchange Act of 1934 was recorded, processed, summarized and reported within the requisite time periods and that such information was accumulated and communicated to our management, including our Chief Executive Officer and Chief Financial Officer, as appropriate to allow for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Because of its inherent limitations, internal control over financial reporting may not prevent or detect all misstatements. Our internal control system was designed to provide reasonable assurance to our management and board of directors regarding the preparation and fair presentation of published financial statements.</w:t>
      </w: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November 30, 2021. Our assessment was based on the framework in the updated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our assessment we believe that as of November 30, 2021, our internal control over financial reporting is effective based on those criteria.</w:t>
      </w: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acquired Kemp on November 1, 2021. Management excluded Kemp from its assessment of the effectiveness of the Company’s internal control over financial reporting as of November 30, 2021. This exclusion was in accordance with SEC guidance that an assessment of a recently acquired business’s internal control over financial reporting may be omitted from management’s report on internal control over financial reporting in the year of acquisition of the business. Kemp represented, in aggregate, approximately 9% of the Company’s total consolidated assets (excluding goodwill and intangibles, which are included within the scope of the assessment) and less than 2% of total consolidated revenues, as of and for the year ended November 30, 2021.</w:t>
      </w: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Deloitte &amp; Touche LLP, our independent registered public accounting firm, which audited our consolidated financial statements, has issued an attestation report on our internal control over financial reporting, which is included in this Item 9A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25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management, including our Chief Executive Officer and Chief Financial Officer, evaluated our “internal control over financial reporting” as defined in Exchange Act Rule 13a-15(f) to determine whether any changes in our internal control over financial reporting occurred during the fiscal quarter ended November 30, 2021 that materially affected, or are reasonably likely to materially affect, our internal control over financial reporting. Based on that evaluation, there were no changes in our internal control over financial reporting during the fiscal quarter ended November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(d) 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Progress Software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We have audited the internal control over financial reporting of Progress Software Corporation and subsidiaries (the “Company”) as of November 30,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November 30,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86"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November 30, 2021, of the Company and our report dated January 27, 2022, expressed an unqualified opinion on those financial statements.</w:t>
      </w:r>
    </w:p>
    <w:p>
      <w:pPr>
        <w:spacing w:after="0" w:line="202"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As described in Management’s Annual Report on Internal Control Over Financial Reporting, management excluded from its assessment the internal control over financial reporting at Kemp Technologies, “Kemp”, acquired on November 1, 2021 whose financial statements constitute approximately 9% of total assets (excluding goodwill and intangibles, which are included within the scope assessment) and less than 2% of total revenues of the consolidated financial statement amounts as of and for the year ended November 30, 2021. Accordingly, our audit did not include the internal control over financial reporting at Kemp.</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ind w:right="40"/>
        <w:spacing w:after="0" w:line="21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27, 2022</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Other Key Officers of the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executive and other key officers.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gridSpan w:val="2"/>
          </w:tcPr>
          <w:p>
            <w:pPr>
              <w:ind w:left="1220"/>
              <w:spacing w:after="0"/>
              <w:rPr>
                <w:sz w:val="20"/>
                <w:szCs w:val="20"/>
                <w:color w:val="auto"/>
              </w:rPr>
            </w:pPr>
            <w:r>
              <w:rPr>
                <w:rFonts w:ascii="Arial" w:cs="Arial" w:eastAsia="Arial" w:hAnsi="Arial"/>
                <w:sz w:val="18"/>
                <w:szCs w:val="18"/>
                <w:color w:val="auto"/>
              </w:rPr>
              <w:t>Name</w:t>
            </w:r>
          </w:p>
        </w:tc>
        <w:tc>
          <w:tcPr>
            <w:tcW w:w="660" w:type="dxa"/>
            <w:vAlign w:val="bottom"/>
          </w:tcPr>
          <w:p>
            <w:pPr>
              <w:ind w:left="320"/>
              <w:spacing w:after="0"/>
              <w:rPr>
                <w:sz w:val="20"/>
                <w:szCs w:val="20"/>
                <w:color w:val="auto"/>
              </w:rPr>
            </w:pPr>
            <w:r>
              <w:rPr>
                <w:rFonts w:ascii="Arial" w:cs="Arial" w:eastAsia="Arial" w:hAnsi="Arial"/>
                <w:sz w:val="18"/>
                <w:szCs w:val="18"/>
                <w:color w:val="auto"/>
                <w:w w:val="99"/>
              </w:rPr>
              <w:t>Age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ind w:left="3320"/>
              <w:spacing w:after="0"/>
              <w:rPr>
                <w:sz w:val="20"/>
                <w:szCs w:val="20"/>
                <w:color w:val="auto"/>
              </w:rPr>
            </w:pPr>
            <w:r>
              <w:rPr>
                <w:rFonts w:ascii="Arial" w:cs="Arial" w:eastAsia="Arial" w:hAnsi="Arial"/>
                <w:sz w:val="18"/>
                <w:szCs w:val="18"/>
                <w:color w:val="auto"/>
              </w:rPr>
              <w:t>Position</w:t>
            </w:r>
          </w:p>
        </w:tc>
      </w:tr>
      <w:tr>
        <w:trPr>
          <w:trHeight w:val="223"/>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John Ainsworth</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57</w:t>
            </w:r>
          </w:p>
        </w:tc>
        <w:tc>
          <w:tcPr>
            <w:tcW w:w="100" w:type="dxa"/>
            <w:vAlign w:val="bottom"/>
            <w:tcBorders>
              <w:top w:val="single" w:sz="8" w:color="CCEEFF"/>
            </w:tcBorders>
            <w:shd w:val="clear" w:color="auto" w:fill="CCEEFF"/>
          </w:tcPr>
          <w:p>
            <w:pPr>
              <w:spacing w:after="0"/>
              <w:rPr>
                <w:sz w:val="19"/>
                <w:szCs w:val="19"/>
                <w:color w:val="auto"/>
              </w:rPr>
            </w:pPr>
          </w:p>
        </w:tc>
        <w:tc>
          <w:tcPr>
            <w:tcW w:w="7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Products - Enterprise Application Experience</w:t>
            </w:r>
          </w:p>
        </w:tc>
      </w:tr>
      <w:tr>
        <w:trPr>
          <w:trHeight w:val="229"/>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Stephen Faberman</w:t>
            </w:r>
          </w:p>
        </w:tc>
        <w:tc>
          <w:tcPr>
            <w:tcW w:w="6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Executive Vice President, Chief Legal Officer</w:t>
            </w:r>
          </w:p>
        </w:tc>
      </w:tr>
      <w:tr>
        <w:trPr>
          <w:trHeight w:val="229"/>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Anthony Folger</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Chief Financial Officer</w:t>
            </w:r>
          </w:p>
        </w:tc>
      </w:tr>
      <w:tr>
        <w:trPr>
          <w:trHeight w:val="23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Yogesh Gupta</w:t>
            </w:r>
          </w:p>
        </w:tc>
        <w:tc>
          <w:tcPr>
            <w:tcW w:w="6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Loren Jarrett</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General Manager - Developer Tools Business</w:t>
            </w:r>
          </w:p>
        </w:tc>
      </w:tr>
      <w:tr>
        <w:trPr>
          <w:trHeight w:val="23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Katie Kulikoski</w:t>
            </w:r>
          </w:p>
        </w:tc>
        <w:tc>
          <w:tcPr>
            <w:tcW w:w="6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Executive Vice President, Chief People Officer</w:t>
            </w:r>
          </w:p>
        </w:tc>
      </w:tr>
      <w:tr>
        <w:trPr>
          <w:trHeight w:val="229"/>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Jennifer Ortiz</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w:t>
            </w: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Corporate Marketing</w:t>
            </w:r>
          </w:p>
        </w:tc>
      </w:tr>
      <w:tr>
        <w:trPr>
          <w:trHeight w:val="229"/>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Ian Pitt</w:t>
            </w:r>
          </w:p>
        </w:tc>
        <w:tc>
          <w:tcPr>
            <w:tcW w:w="6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Executive Vice President, Chief Information Officer</w:t>
            </w:r>
          </w:p>
        </w:tc>
      </w:tr>
      <w:tr>
        <w:trPr>
          <w:trHeight w:val="23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Gary Quinn</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w:t>
            </w: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Field Organization - Enterprise Application</w:t>
            </w:r>
          </w:p>
        </w:tc>
      </w:tr>
      <w:tr>
        <w:trPr>
          <w:trHeight w:val="229"/>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Jeremy Segal</w:t>
            </w:r>
          </w:p>
        </w:tc>
        <w:tc>
          <w:tcPr>
            <w:tcW w:w="6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Executive Vice President, Corporate Development</w:t>
            </w:r>
          </w:p>
        </w:tc>
      </w:tr>
      <w:tr>
        <w:trPr>
          <w:trHeight w:val="229"/>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Sundar Subramanian</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General Manager - Chef Products</w:t>
            </w:r>
          </w:p>
        </w:tc>
      </w:tr>
    </w:tbl>
    <w:p>
      <w:pPr>
        <w:spacing w:after="0" w:line="296" w:lineRule="exact"/>
        <w:rPr>
          <w:sz w:val="20"/>
          <w:szCs w:val="20"/>
          <w:color w:val="auto"/>
        </w:rPr>
      </w:pPr>
    </w:p>
    <w:p>
      <w:pPr>
        <w:ind w:right="60"/>
        <w:spacing w:after="0"/>
        <w:rPr>
          <w:sz w:val="20"/>
          <w:szCs w:val="20"/>
          <w:color w:val="auto"/>
        </w:rPr>
      </w:pPr>
      <w:r>
        <w:rPr>
          <w:rFonts w:ascii="Arial" w:cs="Arial" w:eastAsia="Arial" w:hAnsi="Arial"/>
          <w:sz w:val="17"/>
          <w:szCs w:val="17"/>
          <w:color w:val="auto"/>
        </w:rPr>
        <w:t>Mr. Ainsworth became Senior Vice President, Products-Core in January 2017 and was elevated to Executive Vice President in November 2021. Mr. Ainsworth is responsible for the product management, product marketing, technical support and engineering functions for OpenEdge, Corticon, DataDirect Connect, DataDirect Hybrid Data Pipeline, Sitefinity, MOVEit, WhatsUp Gold, Kemp Loadmaster and Kemp Flowmon. In December 2021, the product group in which these product lines are incorporated was renamed Enterprise Application Experience. Prior to joining our company, Mr. Ainsworth was Senior Vice President, Engineering Services at CA Technologies, Inc., a position he assumed in April 2016. Prior to that time, Mr. Ainsworth held various senior positions within CA Technologies, Inc., which he joined through acquisition in 1994.</w:t>
      </w:r>
    </w:p>
    <w:p>
      <w:pPr>
        <w:spacing w:after="0" w:line="20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Mr. Faberman became Chief Legal Officer in December 2015 and was elevated to Executive Vice President in November 2021. As Chief Legal Officer, Mr. Faberman is responsible for our legal and compliance, risk management, license compliance, and facilities functions. Prior to becoming Chief Legal Officer, Mr. Faberman was Senior Vice President, General Counsel. Mr. Faberman became General Counsel in December 2012 and a Senior Vice President in January 2014. Prior to that time, from October 2012 to December 2012, Mr. Faberman was Vice President, Acting General Counsel, and from January 2012 to October 2012, Mr. Faberman was Vice President, Deputy General Counsel. Prior roles included Senior Vice President, Corporate Counsel at Heritage Property Investment Trust, Inc. from October 2003 until October 2006, and Partner, Bingham McCutcheon LLP until October 2003.</w:t>
      </w:r>
    </w:p>
    <w:p>
      <w:pPr>
        <w:spacing w:after="0" w:line="190"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Mr. Folger became Chief Financial Officer in January 2020 and was elevated to Executive Vice President in November 2021. As CFO, Mr. Folger is responsible for our finance and accounting, financial planning, treasury, tax and investor relations functions. Prior to joining our company, Mr. Folger was Chief Financial Officer and Treasurer of Carbonite, Inc., from January 2013 until Carbonite was acquired by OpenText Corporation in late December 2019. Prior to that time, from June 2006 to December 2012, Mr. Folger held senior leadership positions at Acronis AG, including Chief Financial Officer from October 2008 to December 2012.</w:t>
      </w:r>
    </w:p>
    <w:p>
      <w:pPr>
        <w:spacing w:after="0" w:line="2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Mr. Gupta became President and Chief Executive Officer in October 2016. Prior to that time, Mr. Gupta served as an advisor to various venture capital and private equity firms from October 2015 until September 2016. Prior to that time, Mr. Gupta was President and Chief Executive Officer at Kaseya, Inc., from June 2013 until July 2015, at which time, Mr. Gupta became Chairman of the Board of Directors, a position he held until October 2015. From July 2012 until June 2013, Mr. Gupta served as an advisor to various venture capital and private equity firms in several mergers and acquisitions opportunities. Mr. Gupta was previously President and Chief Executive Officer of FatWire Software from July 2007 until February 2012, prior to the acquisition of FatWire Software by Oracle Corporation. Prior roles included Chief Technology Officer at CA Technologies, with whom Mr. Gupta held various senior positions.</w:t>
      </w:r>
    </w:p>
    <w:p>
      <w:pPr>
        <w:spacing w:after="0" w:line="208"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Ms. Jarrett became Senior Vice President and General Manager, Developer Tools Business in June 2019 and was elevated to Executive Vice President in November 2021. As General Manager, Ms. Jarrett is responsible for the sales, product management, product marketing, field marketing, technical support and engineering functions for our Developer Tools product line. Prior to this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5" w:name="page86"/>
    <w:bookmarkEnd w:id="85"/>
    <w:p>
      <w:pPr>
        <w:ind w:right="120"/>
        <w:spacing w:after="0" w:line="228" w:lineRule="auto"/>
        <w:rPr>
          <w:sz w:val="20"/>
          <w:szCs w:val="20"/>
          <w:color w:val="auto"/>
        </w:rPr>
      </w:pPr>
      <w:r>
        <w:rPr>
          <w:rFonts w:ascii="Arial" w:cs="Arial" w:eastAsia="Arial" w:hAnsi="Arial"/>
          <w:sz w:val="18"/>
          <w:szCs w:val="18"/>
          <w:color w:val="auto"/>
        </w:rPr>
        <w:t>role, Ms. Jarrett was our Chief Marketing Officer, a position she held from January 2017 to June 2019. Prior to that time, Ms. Jarrett was Chief Marketing Officer at Acquia, from 2015 until December 2016. Previously, Ms. Jarrett was Chief Marketing Officer at Kaseya, Inc. from 2013 until 2015, and Vice President, Corporate Charge Card and Loyalty Products at American Express, in 2013. Prior to that time, Ms. Jarrett was Vice President, Product Management and Strategy at Oracle Corporation from 2011 until 2012, and Senior Vice President of Marketing and Product Management at FatWire from 2007 until its acquisition by Oracle in 2011.</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Ms. Kulikoski became Chief People Officer in November 2019 and was elevated to Executive Vice President in November 2021. As Chief People Officer, Ms. Kulikoski is responsible for all aspects of the company’s global human resources function, including culture development, talent acquisition, retention, change management and process effectiveness. Prior to joining our Company, from May 2014 to September 2019, Ms. Kulikoski held a variety of positions of increasing responsibility and scope at Brightcove, Inc. Her tenure at Brightcove included serving as Chief People Officer from November 2018 to September 2019. Prior to May 2014, Ms. Kulikoski held leadership positions at Optaros, CIDC and ConnectEdu.</w:t>
      </w:r>
    </w:p>
    <w:p>
      <w:pPr>
        <w:spacing w:after="0" w:line="18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Ms. Ortiz became Executive Vice President, Corporate Marketing in November 2021. Prior to that time, beginning in October 2019, she was Vice President of Corporate Marketing. In this role, Ms. Ortiz is responsible for the development and execution of our corporate marketing programs. Prior to becoming Vice President of Corporate Marketing, Ms. Ortiz held a variety of positions of increasing responsibility and scope at Progress during her more than fifteen-year tenure with the company.</w:t>
      </w:r>
    </w:p>
    <w:p>
      <w:pPr>
        <w:spacing w:after="0" w:line="2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Mr. Pitt became Chief Information Officer in August 2021 and was elevated to Executive Vice President in November 2021. As our Chief Information Officer, Mr. Pitt is responsible for driving the vision, strategy and operations of Progress’ global IT organization. Mr. Pitt is also responsible for the security of our internal networks, infrastructure, business applications and products. Prior to joining our company, Mr. Pitt was Chief Information Officer from July 2016 until May, 2021 at LogMeIn Inc. Prior roles included Chief Information Officer and senior technology and IT roles at Thunderbird/Smart Communications, IntraLinks Inc. Tata Consultancy Services and Chordiant Software Inc.</w:t>
      </w:r>
    </w:p>
    <w:p>
      <w:pPr>
        <w:spacing w:after="0" w:line="21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Mr. Quinn became Senior Vice President, Core Field Organization in August 2017 and was elevated to Executive Vice President in November 2021. Mr. Quinn is responsible for global field operations for OpenEdge, Corticon, DataDirect Connect, DataDirect Hybrid Data Pipeline, Sitefinity, MOVEit, WhatsUp Gold, Kemp Loadmaster and Kemp Flowmon. In December 2021, the product group in which these product lines are incorporated was renamed Enterprise Application Experience. Prior to joining our company, Mr. Quinn was President and Chief Executive Officer of FalconStor Software, Inc. Mr. Quinn joined FalconStor Software in April 2012 as vice president of sales and marketing for North America, and he was named executive vice president and chief operating officer (COO) in April 2013, interim CEO in June 2013 and CEO in July 2013. Prior roles included Executive Vice President of Global Partners and International Sales at CA Technologies until 2006 and Commissioner of Information Technology (CIO) at Suffolk County Department of Information Technology (DoIT) from 2008 until 2012.</w:t>
      </w:r>
    </w:p>
    <w:p>
      <w:pPr>
        <w:spacing w:after="0" w:line="192" w:lineRule="exact"/>
        <w:rPr>
          <w:sz w:val="20"/>
          <w:szCs w:val="20"/>
          <w:color w:val="auto"/>
        </w:rPr>
      </w:pPr>
    </w:p>
    <w:p>
      <w:pPr>
        <w:ind w:right="300"/>
        <w:spacing w:after="0" w:line="242" w:lineRule="auto"/>
        <w:rPr>
          <w:sz w:val="20"/>
          <w:szCs w:val="20"/>
          <w:color w:val="auto"/>
        </w:rPr>
      </w:pPr>
      <w:r>
        <w:rPr>
          <w:rFonts w:ascii="Arial" w:cs="Arial" w:eastAsia="Arial" w:hAnsi="Arial"/>
          <w:sz w:val="17"/>
          <w:szCs w:val="17"/>
          <w:color w:val="auto"/>
        </w:rPr>
        <w:t>Mr. Segal became Senior Vice President, Corporate Development in May 2020 and was elevated to Executive Vice President in November 2021. In this role, Mr. Segal is responsible for leading our inorganic growth strategy to deliver sustained stockholder value through accretive acquisitions. Prior to joining our company, Mr. Segal was Global Head of Corporate Development at LogMeIn, Inc., a position he assumed in September 2019. Prior to that time, Mr. Segal was Vice President, Corporate Development at LogMeIn beginning in March 2016. Prior to that time, Mr. Segal was Vice President, Corporate Development at Akamai Technologies, which he joined in April 2000.</w:t>
      </w:r>
    </w:p>
    <w:p>
      <w:pPr>
        <w:spacing w:after="0" w:line="20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Mr. Subramanian became Senior Vice President and General Manager, Chef in October 2020 upon completion of our acquisition of Chef and was elevated to Executive Vice President in November 2021. As General Manager, Mr. Subramanian is responsible for the sales, product management, product marketing, field marketing, technical support and engineering for the Chef product lines. Prior to that time, upon joining our company in August 2019, Mr. Subramanian was responsible for driving all facets of the company’s early stage products including the Kinvey, Kinvey Health Cloud, DataRPM, NativeChat and NativeScript product lines. Prior to joining Progress, Mr. Subramanian was an Executive Director at athenahealth, Inc., from August 2016 to July 2019, and Vice President, Products at Citrus Payment Solutions Pvt. Ltd., from September 2015 to August 2016. Previously, he served as Vice President, SaaS at Kaseya, Inc., from January 2014 to August 2015.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adopted a Code of Conduct and Business Ethics that applies to all employees and directors. A copy of the Code of Conduct and Business Ethics is publicly available on our website at www.progress.com. If we make any substantive amendments to the Code of Conduct and Business Ethics or grant any waiver, including any implicit waiver, from the Code of Conduct and Business Ethics to our executive officers or directors, we will disclose the nature of such amendment or waiver in a Current Report on Form 8-K.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remainder of the information required by Item 10 is incorporated by reference to our definitive Proxy Statement.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11 is incorporated by reference to our definitive Proxy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Information related to securities authorized for issuance under equity compensation plans as of November 30, 2021 is as follows (in thousands, except per share data):</w:t>
      </w:r>
    </w:p>
    <w:tbl>
      <w:tblPr>
        <w:tblLayout w:type="fixed"/>
        <w:tblInd w:w="0" w:type="dxa"/>
        <w:tblCellMar>
          <w:top w:w="0" w:type="dxa"/>
          <w:left w:w="0" w:type="dxa"/>
          <w:bottom w:w="0" w:type="dxa"/>
          <w:right w:w="0" w:type="dxa"/>
        </w:tblCellMar>
      </w:tblPr>
      <w:tr>
        <w:trPr>
          <w:trHeight w:val="178"/>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2"/>
          </w:tcPr>
          <w:p>
            <w:pPr>
              <w:jc w:val="center"/>
              <w:ind w:right="268"/>
              <w:spacing w:after="0" w:line="178" w:lineRule="exact"/>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5"/>
                <w:szCs w:val="15"/>
                <w:color w:val="auto"/>
              </w:rPr>
            </w:pPr>
          </w:p>
        </w:tc>
        <w:tc>
          <w:tcPr>
            <w:tcW w:w="1980" w:type="dxa"/>
            <w:vAlign w:val="bottom"/>
            <w:gridSpan w:val="2"/>
          </w:tcPr>
          <w:p>
            <w:pPr>
              <w:jc w:val="center"/>
              <w:ind w:right="520"/>
              <w:spacing w:after="0" w:line="178" w:lineRule="exact"/>
              <w:rPr>
                <w:sz w:val="20"/>
                <w:szCs w:val="20"/>
                <w:color w:val="auto"/>
              </w:rPr>
            </w:pPr>
            <w:r>
              <w:rPr>
                <w:rFonts w:ascii="Arial" w:cs="Arial" w:eastAsia="Arial" w:hAnsi="Arial"/>
                <w:sz w:val="18"/>
                <w:szCs w:val="18"/>
                <w:color w:val="auto"/>
                <w:w w:val="88"/>
              </w:rPr>
              <w:t>Weighted-average</w:t>
            </w:r>
          </w:p>
        </w:tc>
        <w:tc>
          <w:tcPr>
            <w:tcW w:w="2020" w:type="dxa"/>
            <w:vAlign w:val="bottom"/>
            <w:gridSpan w:val="2"/>
          </w:tcPr>
          <w:p>
            <w:pPr>
              <w:jc w:val="center"/>
              <w:ind w:right="108"/>
              <w:spacing w:after="0" w:line="178" w:lineRule="exact"/>
              <w:rPr>
                <w:sz w:val="20"/>
                <w:szCs w:val="20"/>
                <w:color w:val="auto"/>
              </w:rPr>
            </w:pPr>
            <w:r>
              <w:rPr>
                <w:rFonts w:ascii="Arial" w:cs="Arial" w:eastAsia="Arial" w:hAnsi="Arial"/>
                <w:sz w:val="18"/>
                <w:szCs w:val="18"/>
                <w:color w:val="auto"/>
                <w:w w:val="95"/>
              </w:rPr>
              <w:t>Number of</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2"/>
          </w:tcPr>
          <w:p>
            <w:pPr>
              <w:jc w:val="center"/>
              <w:ind w:right="288"/>
              <w:spacing w:after="0" w:line="176" w:lineRule="exact"/>
              <w:rPr>
                <w:sz w:val="20"/>
                <w:szCs w:val="20"/>
                <w:color w:val="auto"/>
              </w:rPr>
            </w:pPr>
            <w:r>
              <w:rPr>
                <w:rFonts w:ascii="Arial" w:cs="Arial" w:eastAsia="Arial" w:hAnsi="Arial"/>
                <w:sz w:val="18"/>
                <w:szCs w:val="18"/>
                <w:color w:val="auto"/>
                <w:w w:val="90"/>
              </w:rPr>
              <w:t>Securities to be</w:t>
            </w:r>
          </w:p>
        </w:tc>
        <w:tc>
          <w:tcPr>
            <w:tcW w:w="180" w:type="dxa"/>
            <w:vAlign w:val="bottom"/>
          </w:tcPr>
          <w:p>
            <w:pPr>
              <w:spacing w:after="0"/>
              <w:rPr>
                <w:sz w:val="15"/>
                <w:szCs w:val="15"/>
                <w:color w:val="auto"/>
              </w:rPr>
            </w:pPr>
          </w:p>
        </w:tc>
        <w:tc>
          <w:tcPr>
            <w:tcW w:w="1980" w:type="dxa"/>
            <w:vAlign w:val="bottom"/>
            <w:gridSpan w:val="2"/>
          </w:tcPr>
          <w:p>
            <w:pPr>
              <w:jc w:val="center"/>
              <w:ind w:right="520"/>
              <w:spacing w:after="0" w:line="176" w:lineRule="exact"/>
              <w:rPr>
                <w:sz w:val="20"/>
                <w:szCs w:val="20"/>
                <w:color w:val="auto"/>
              </w:rPr>
            </w:pPr>
            <w:r>
              <w:rPr>
                <w:rFonts w:ascii="Arial" w:cs="Arial" w:eastAsia="Arial" w:hAnsi="Arial"/>
                <w:sz w:val="18"/>
                <w:szCs w:val="18"/>
                <w:color w:val="auto"/>
                <w:w w:val="89"/>
              </w:rPr>
              <w:t>Exercise</w:t>
            </w:r>
          </w:p>
        </w:tc>
        <w:tc>
          <w:tcPr>
            <w:tcW w:w="2020" w:type="dxa"/>
            <w:vAlign w:val="bottom"/>
            <w:gridSpan w:val="2"/>
          </w:tcPr>
          <w:p>
            <w:pPr>
              <w:jc w:val="center"/>
              <w:ind w:right="108"/>
              <w:spacing w:after="0" w:line="176" w:lineRule="exact"/>
              <w:rPr>
                <w:sz w:val="20"/>
                <w:szCs w:val="20"/>
                <w:color w:val="auto"/>
              </w:rPr>
            </w:pPr>
            <w:r>
              <w:rPr>
                <w:rFonts w:ascii="Arial" w:cs="Arial" w:eastAsia="Arial" w:hAnsi="Arial"/>
                <w:sz w:val="18"/>
                <w:szCs w:val="18"/>
                <w:color w:val="auto"/>
                <w:w w:val="91"/>
              </w:rPr>
              <w:t>Securities</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2"/>
          </w:tcPr>
          <w:p>
            <w:pPr>
              <w:jc w:val="center"/>
              <w:ind w:right="268"/>
              <w:spacing w:after="0" w:line="176" w:lineRule="exact"/>
              <w:rPr>
                <w:sz w:val="20"/>
                <w:szCs w:val="20"/>
                <w:color w:val="auto"/>
              </w:rPr>
            </w:pPr>
            <w:r>
              <w:rPr>
                <w:rFonts w:ascii="Arial" w:cs="Arial" w:eastAsia="Arial" w:hAnsi="Arial"/>
                <w:sz w:val="18"/>
                <w:szCs w:val="18"/>
                <w:color w:val="auto"/>
                <w:w w:val="89"/>
              </w:rPr>
              <w:t>Issued Upon</w:t>
            </w:r>
          </w:p>
        </w:tc>
        <w:tc>
          <w:tcPr>
            <w:tcW w:w="180" w:type="dxa"/>
            <w:vAlign w:val="bottom"/>
          </w:tcPr>
          <w:p>
            <w:pPr>
              <w:spacing w:after="0"/>
              <w:rPr>
                <w:sz w:val="15"/>
                <w:szCs w:val="15"/>
                <w:color w:val="auto"/>
              </w:rPr>
            </w:pPr>
          </w:p>
        </w:tc>
        <w:tc>
          <w:tcPr>
            <w:tcW w:w="1980" w:type="dxa"/>
            <w:vAlign w:val="bottom"/>
            <w:gridSpan w:val="2"/>
          </w:tcPr>
          <w:p>
            <w:pPr>
              <w:jc w:val="center"/>
              <w:ind w:right="540"/>
              <w:spacing w:after="0" w:line="176" w:lineRule="exact"/>
              <w:rPr>
                <w:sz w:val="20"/>
                <w:szCs w:val="20"/>
                <w:color w:val="auto"/>
              </w:rPr>
            </w:pPr>
            <w:r>
              <w:rPr>
                <w:rFonts w:ascii="Arial" w:cs="Arial" w:eastAsia="Arial" w:hAnsi="Arial"/>
                <w:sz w:val="18"/>
                <w:szCs w:val="18"/>
                <w:color w:val="auto"/>
                <w:w w:val="91"/>
              </w:rPr>
              <w:t>Price of</w:t>
            </w:r>
          </w:p>
        </w:tc>
        <w:tc>
          <w:tcPr>
            <w:tcW w:w="2020" w:type="dxa"/>
            <w:vAlign w:val="bottom"/>
            <w:gridSpan w:val="2"/>
          </w:tcPr>
          <w:p>
            <w:pPr>
              <w:jc w:val="center"/>
              <w:ind w:right="108"/>
              <w:spacing w:after="0" w:line="176" w:lineRule="exact"/>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2"/>
          </w:tcPr>
          <w:p>
            <w:pPr>
              <w:jc w:val="center"/>
              <w:ind w:right="268"/>
              <w:spacing w:after="0" w:line="176" w:lineRule="exact"/>
              <w:rPr>
                <w:sz w:val="20"/>
                <w:szCs w:val="20"/>
                <w:color w:val="auto"/>
              </w:rPr>
            </w:pPr>
            <w:r>
              <w:rPr>
                <w:rFonts w:ascii="Arial" w:cs="Arial" w:eastAsia="Arial" w:hAnsi="Arial"/>
                <w:sz w:val="18"/>
                <w:szCs w:val="18"/>
                <w:color w:val="auto"/>
                <w:w w:val="92"/>
              </w:rPr>
              <w:t>Exercise of</w:t>
            </w:r>
          </w:p>
        </w:tc>
        <w:tc>
          <w:tcPr>
            <w:tcW w:w="180" w:type="dxa"/>
            <w:vAlign w:val="bottom"/>
          </w:tcPr>
          <w:p>
            <w:pPr>
              <w:spacing w:after="0"/>
              <w:rPr>
                <w:sz w:val="15"/>
                <w:szCs w:val="15"/>
                <w:color w:val="auto"/>
              </w:rPr>
            </w:pPr>
          </w:p>
        </w:tc>
        <w:tc>
          <w:tcPr>
            <w:tcW w:w="1980" w:type="dxa"/>
            <w:vAlign w:val="bottom"/>
            <w:gridSpan w:val="2"/>
          </w:tcPr>
          <w:p>
            <w:pPr>
              <w:jc w:val="center"/>
              <w:ind w:right="540"/>
              <w:spacing w:after="0" w:line="176" w:lineRule="exact"/>
              <w:rPr>
                <w:sz w:val="20"/>
                <w:szCs w:val="20"/>
                <w:color w:val="auto"/>
              </w:rPr>
            </w:pPr>
            <w:r>
              <w:rPr>
                <w:rFonts w:ascii="Arial" w:cs="Arial" w:eastAsia="Arial" w:hAnsi="Arial"/>
                <w:sz w:val="18"/>
                <w:szCs w:val="18"/>
                <w:color w:val="auto"/>
                <w:w w:val="90"/>
              </w:rPr>
              <w:t>Outstanding</w:t>
            </w:r>
          </w:p>
        </w:tc>
        <w:tc>
          <w:tcPr>
            <w:tcW w:w="2020" w:type="dxa"/>
            <w:vAlign w:val="bottom"/>
            <w:gridSpan w:val="2"/>
          </w:tcPr>
          <w:p>
            <w:pPr>
              <w:jc w:val="center"/>
              <w:ind w:right="108"/>
              <w:spacing w:after="0" w:line="176" w:lineRule="exact"/>
              <w:rPr>
                <w:sz w:val="20"/>
                <w:szCs w:val="20"/>
                <w:color w:val="auto"/>
              </w:rPr>
            </w:pPr>
            <w:r>
              <w:rPr>
                <w:rFonts w:ascii="Arial" w:cs="Arial" w:eastAsia="Arial" w:hAnsi="Arial"/>
                <w:sz w:val="18"/>
                <w:szCs w:val="18"/>
                <w:color w:val="auto"/>
                <w:w w:val="93"/>
              </w:rPr>
              <w:t>Available</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2"/>
          </w:tcPr>
          <w:p>
            <w:pPr>
              <w:jc w:val="center"/>
              <w:ind w:right="288"/>
              <w:spacing w:after="0" w:line="176" w:lineRule="exact"/>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15"/>
                <w:szCs w:val="15"/>
                <w:color w:val="auto"/>
              </w:rPr>
            </w:pPr>
          </w:p>
        </w:tc>
        <w:tc>
          <w:tcPr>
            <w:tcW w:w="1980" w:type="dxa"/>
            <w:vAlign w:val="bottom"/>
            <w:gridSpan w:val="2"/>
          </w:tcPr>
          <w:p>
            <w:pPr>
              <w:jc w:val="center"/>
              <w:ind w:right="520"/>
              <w:spacing w:after="0" w:line="176" w:lineRule="exact"/>
              <w:rPr>
                <w:sz w:val="20"/>
                <w:szCs w:val="20"/>
                <w:color w:val="auto"/>
              </w:rPr>
            </w:pPr>
            <w:r>
              <w:rPr>
                <w:rFonts w:ascii="Arial" w:cs="Arial" w:eastAsia="Arial" w:hAnsi="Arial"/>
                <w:sz w:val="18"/>
                <w:szCs w:val="18"/>
                <w:color w:val="auto"/>
                <w:w w:val="92"/>
              </w:rPr>
              <w:t>Options,</w:t>
            </w:r>
          </w:p>
        </w:tc>
        <w:tc>
          <w:tcPr>
            <w:tcW w:w="2020" w:type="dxa"/>
            <w:vAlign w:val="bottom"/>
            <w:gridSpan w:val="2"/>
          </w:tcPr>
          <w:p>
            <w:pPr>
              <w:jc w:val="center"/>
              <w:ind w:right="108"/>
              <w:spacing w:after="0" w:line="176" w:lineRule="exact"/>
              <w:rPr>
                <w:sz w:val="20"/>
                <w:szCs w:val="20"/>
                <w:color w:val="auto"/>
              </w:rPr>
            </w:pPr>
            <w:r>
              <w:rPr>
                <w:rFonts w:ascii="Arial" w:cs="Arial" w:eastAsia="Arial" w:hAnsi="Arial"/>
                <w:sz w:val="18"/>
                <w:szCs w:val="18"/>
                <w:color w:val="auto"/>
                <w:w w:val="88"/>
              </w:rPr>
              <w:t>For</w:t>
            </w:r>
          </w:p>
        </w:tc>
        <w:tc>
          <w:tcPr>
            <w:tcW w:w="0" w:type="dxa"/>
            <w:vAlign w:val="bottom"/>
          </w:tcPr>
          <w:p>
            <w:pPr>
              <w:spacing w:after="0"/>
              <w:rPr>
                <w:sz w:val="1"/>
                <w:szCs w:val="1"/>
                <w:color w:val="auto"/>
              </w:rPr>
            </w:pPr>
          </w:p>
        </w:tc>
      </w:tr>
      <w:tr>
        <w:trPr>
          <w:trHeight w:val="176"/>
        </w:trPr>
        <w:tc>
          <w:tcPr>
            <w:tcW w:w="4700" w:type="dxa"/>
            <w:vAlign w:val="bottom"/>
            <w:gridSpan w:val="2"/>
            <w:vMerge w:val="restart"/>
          </w:tcPr>
          <w:p>
            <w:pPr>
              <w:ind w:left="1800"/>
              <w:spacing w:after="0"/>
              <w:rPr>
                <w:sz w:val="20"/>
                <w:szCs w:val="20"/>
                <w:color w:val="auto"/>
              </w:rPr>
            </w:pPr>
            <w:r>
              <w:rPr>
                <w:rFonts w:ascii="Arial" w:cs="Arial" w:eastAsia="Arial" w:hAnsi="Arial"/>
                <w:sz w:val="18"/>
                <w:szCs w:val="18"/>
                <w:color w:val="auto"/>
              </w:rPr>
              <w:t>Plan Category</w:t>
            </w:r>
          </w:p>
        </w:tc>
        <w:tc>
          <w:tcPr>
            <w:tcW w:w="2200" w:type="dxa"/>
            <w:vAlign w:val="bottom"/>
            <w:gridSpan w:val="2"/>
          </w:tcPr>
          <w:p>
            <w:pPr>
              <w:jc w:val="center"/>
              <w:ind w:right="268"/>
              <w:spacing w:after="0" w:line="176" w:lineRule="exact"/>
              <w:rPr>
                <w:sz w:val="20"/>
                <w:szCs w:val="20"/>
                <w:color w:val="auto"/>
              </w:rPr>
            </w:pPr>
            <w:r>
              <w:rPr>
                <w:rFonts w:ascii="Arial" w:cs="Arial" w:eastAsia="Arial" w:hAnsi="Arial"/>
                <w:sz w:val="18"/>
                <w:szCs w:val="18"/>
                <w:color w:val="auto"/>
                <w:w w:val="89"/>
              </w:rPr>
              <w:t>Options, Warrants</w:t>
            </w:r>
          </w:p>
        </w:tc>
        <w:tc>
          <w:tcPr>
            <w:tcW w:w="180" w:type="dxa"/>
            <w:vAlign w:val="bottom"/>
          </w:tcPr>
          <w:p>
            <w:pPr>
              <w:spacing w:after="0"/>
              <w:rPr>
                <w:sz w:val="15"/>
                <w:szCs w:val="15"/>
                <w:color w:val="auto"/>
              </w:rPr>
            </w:pPr>
          </w:p>
        </w:tc>
        <w:tc>
          <w:tcPr>
            <w:tcW w:w="1980" w:type="dxa"/>
            <w:vAlign w:val="bottom"/>
            <w:gridSpan w:val="2"/>
          </w:tcPr>
          <w:p>
            <w:pPr>
              <w:jc w:val="center"/>
              <w:ind w:right="540"/>
              <w:spacing w:after="0" w:line="176" w:lineRule="exact"/>
              <w:rPr>
                <w:sz w:val="20"/>
                <w:szCs w:val="20"/>
                <w:color w:val="auto"/>
              </w:rPr>
            </w:pPr>
            <w:r>
              <w:rPr>
                <w:rFonts w:ascii="Arial" w:cs="Arial" w:eastAsia="Arial" w:hAnsi="Arial"/>
                <w:sz w:val="18"/>
                <w:szCs w:val="18"/>
                <w:color w:val="auto"/>
                <w:w w:val="87"/>
              </w:rPr>
              <w:t>Warrants</w:t>
            </w:r>
          </w:p>
        </w:tc>
        <w:tc>
          <w:tcPr>
            <w:tcW w:w="2020" w:type="dxa"/>
            <w:vAlign w:val="bottom"/>
            <w:gridSpan w:val="2"/>
          </w:tcPr>
          <w:p>
            <w:pPr>
              <w:jc w:val="center"/>
              <w:ind w:right="108"/>
              <w:spacing w:after="0" w:line="176" w:lineRule="exact"/>
              <w:rPr>
                <w:sz w:val="20"/>
                <w:szCs w:val="20"/>
                <w:color w:val="auto"/>
              </w:rPr>
            </w:pPr>
            <w:r>
              <w:rPr>
                <w:rFonts w:ascii="Arial" w:cs="Arial" w:eastAsia="Arial" w:hAnsi="Arial"/>
                <w:sz w:val="18"/>
                <w:szCs w:val="18"/>
                <w:color w:val="auto"/>
                <w:w w:val="92"/>
              </w:rPr>
              <w:t>Future</w:t>
            </w:r>
          </w:p>
        </w:tc>
        <w:tc>
          <w:tcPr>
            <w:tcW w:w="0" w:type="dxa"/>
            <w:vAlign w:val="bottom"/>
          </w:tcPr>
          <w:p>
            <w:pPr>
              <w:spacing w:after="0"/>
              <w:rPr>
                <w:sz w:val="1"/>
                <w:szCs w:val="1"/>
                <w:color w:val="auto"/>
              </w:rPr>
            </w:pPr>
          </w:p>
        </w:tc>
      </w:tr>
      <w:tr>
        <w:trPr>
          <w:trHeight w:val="229"/>
        </w:trPr>
        <w:tc>
          <w:tcPr>
            <w:tcW w:w="4700" w:type="dxa"/>
            <w:vAlign w:val="bottom"/>
            <w:gridSpan w:val="2"/>
            <w:vMerge w:val="continue"/>
          </w:tcPr>
          <w:p>
            <w:pPr>
              <w:spacing w:after="0"/>
              <w:rPr>
                <w:sz w:val="19"/>
                <w:szCs w:val="19"/>
                <w:color w:val="auto"/>
              </w:rPr>
            </w:pPr>
          </w:p>
        </w:tc>
        <w:tc>
          <w:tcPr>
            <w:tcW w:w="2200" w:type="dxa"/>
            <w:vAlign w:val="bottom"/>
            <w:gridSpan w:val="2"/>
          </w:tcPr>
          <w:p>
            <w:pPr>
              <w:jc w:val="center"/>
              <w:ind w:right="268"/>
              <w:spacing w:after="0"/>
              <w:rPr>
                <w:sz w:val="20"/>
                <w:szCs w:val="20"/>
                <w:color w:val="auto"/>
              </w:rPr>
            </w:pPr>
            <w:r>
              <w:rPr>
                <w:rFonts w:ascii="Arial" w:cs="Arial" w:eastAsia="Arial" w:hAnsi="Arial"/>
                <w:sz w:val="18"/>
                <w:szCs w:val="18"/>
                <w:color w:val="auto"/>
                <w:w w:val="90"/>
              </w:rPr>
              <w:t>and Rights</w:t>
            </w:r>
          </w:p>
        </w:tc>
        <w:tc>
          <w:tcPr>
            <w:tcW w:w="180" w:type="dxa"/>
            <w:vAlign w:val="bottom"/>
          </w:tcPr>
          <w:p>
            <w:pPr>
              <w:spacing w:after="0"/>
              <w:rPr>
                <w:sz w:val="19"/>
                <w:szCs w:val="19"/>
                <w:color w:val="auto"/>
              </w:rPr>
            </w:pPr>
          </w:p>
        </w:tc>
        <w:tc>
          <w:tcPr>
            <w:tcW w:w="198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and Rights</w:t>
            </w:r>
          </w:p>
        </w:tc>
        <w:tc>
          <w:tcPr>
            <w:tcW w:w="2020" w:type="dxa"/>
            <w:vAlign w:val="bottom"/>
            <w:gridSpan w:val="2"/>
          </w:tcPr>
          <w:p>
            <w:pPr>
              <w:jc w:val="center"/>
              <w:ind w:right="128"/>
              <w:spacing w:after="0"/>
              <w:rPr>
                <w:sz w:val="20"/>
                <w:szCs w:val="20"/>
                <w:color w:val="auto"/>
              </w:rPr>
            </w:pPr>
            <w:r>
              <w:rPr>
                <w:rFonts w:ascii="Arial" w:cs="Arial" w:eastAsia="Arial" w:hAnsi="Arial"/>
                <w:sz w:val="18"/>
                <w:szCs w:val="18"/>
                <w:color w:val="auto"/>
                <w:w w:val="85"/>
              </w:rPr>
              <w:t>Issuance</w:t>
            </w: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Equity compensation plans approved by stockholders</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36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93"/>
              </w:rPr>
              <w:t>(2)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34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2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w w:val="98"/>
              </w:rPr>
              <w:t>Equity compensation plans not approved by stockholders</w:t>
            </w:r>
            <w:r>
              <w:rPr>
                <w:rFonts w:ascii="Arial" w:cs="Arial" w:eastAsia="Arial" w:hAnsi="Arial"/>
                <w:sz w:val="23"/>
                <w:szCs w:val="23"/>
                <w:color w:val="auto"/>
                <w:w w:val="98"/>
                <w:vertAlign w:val="superscript"/>
              </w:rPr>
              <w:t>(4)</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34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20" w:right="240" w:hanging="412"/>
        <w:spacing w:after="0" w:line="212" w:lineRule="auto"/>
        <w:tabs>
          <w:tab w:leader="none" w:pos="407"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Consists of the 1992 Incentive and Nonqualified Stock Option Plan, 1994 Stock Incentive Plan, 1997 Stock Incentive Plan, 2008 Stock Option and Incentive Plan and 1991 Employee Stock Purchase Plan ("ESPP").</w:t>
      </w:r>
    </w:p>
    <w:p>
      <w:pPr>
        <w:ind w:left="420" w:right="80" w:hanging="412"/>
        <w:spacing w:after="0" w:line="204" w:lineRule="auto"/>
        <w:tabs>
          <w:tab w:leader="none" w:pos="407"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Includes 874,000 restricted stock units under our 2008 Plan. Does not include purchase rights accruing under the ESPP because the purchase price (and therefore the number of shares to be purchased) will not be determined until the end of the purchase period.</w:t>
      </w:r>
    </w:p>
    <w:p>
      <w:pPr>
        <w:spacing w:after="0" w:line="1" w:lineRule="exact"/>
        <w:rPr>
          <w:rFonts w:ascii="Arial" w:cs="Arial" w:eastAsia="Arial" w:hAnsi="Arial"/>
          <w:sz w:val="19"/>
          <w:szCs w:val="19"/>
          <w:color w:val="auto"/>
          <w:vertAlign w:val="superscript"/>
        </w:rPr>
      </w:pPr>
    </w:p>
    <w:p>
      <w:pPr>
        <w:ind w:left="400" w:hanging="392"/>
        <w:spacing w:after="0" w:line="187" w:lineRule="auto"/>
        <w:tabs>
          <w:tab w:leader="none" w:pos="40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Includes 687,000 shares available for future issuance under the ESPP.</w:t>
      </w:r>
    </w:p>
    <w:p>
      <w:pPr>
        <w:ind w:left="400" w:hanging="392"/>
        <w:spacing w:after="0" w:line="186" w:lineRule="auto"/>
        <w:tabs>
          <w:tab w:leader="none" w:pos="40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Consists of the 2002 Nonqualified Stock Plan and the 2004 Inducement Plan described below.</w:t>
      </w:r>
    </w:p>
    <w:p>
      <w:pPr>
        <w:spacing w:after="0" w:line="22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adopted two equity compensation plans, the 2002 Nonqualified Stock Plan (2002 Plan) and the 2004 Inducement Stock Plan (2004 Plan), for which the approval of stockholders was not required. We intend that the 2004 Plan be reserved for persons to whom we may issue securities as an inducement to become employed by us pursuant to the rules and regulations of NASDAQ. Executive officers and members of the Board of Directors are not eligible for awards under the 2002 Plan. An executive officer would be eligible to receive an award under the 2004 Plan only as an inducement to join us. Awards under the 2002 Plan and the 2004 Plan may include nonqualified stock options, grants of conditioned stock, unrestricted grants of stock, grants of stock contingent upon the attainment of performance goals and stock appreciation rights. A total of 11,250,000 shares are issuable under the two plans, of which, 573,863 shares are available for future issuance.</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required by Item 12 with respect to security ownership and our equity compensation plans may be found under the headings captioned “Information About Progress Software Common Stock Ownership” and “Equity Compensation Plan Information” in our definitive Proxy Statement and is incorporated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13 is incorporated by reference to our definitive Proxy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14 is incorporated by reference to our definitive Proxy Statement.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Annual Report on Form 10-K</w:t>
      </w:r>
    </w:p>
    <w:p>
      <w:pPr>
        <w:spacing w:after="0" w:line="256"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Statements (included in Part II, Item 8 of this Annual Report on Form 10-K):</w:t>
      </w:r>
    </w:p>
    <w:p>
      <w:pPr>
        <w:spacing w:after="0" w:line="252" w:lineRule="exact"/>
        <w:rPr>
          <w:rFonts w:ascii="Arial" w:cs="Arial" w:eastAsia="Arial" w:hAnsi="Arial"/>
          <w:sz w:val="18"/>
          <w:szCs w:val="18"/>
          <w:color w:val="auto"/>
        </w:rPr>
      </w:pPr>
    </w:p>
    <w:p>
      <w:pPr>
        <w:ind w:left="900" w:hanging="568"/>
        <w:spacing w:after="0"/>
        <w:tabs>
          <w:tab w:leader="none" w:pos="900" w:val="left"/>
        </w:tabs>
        <w:numPr>
          <w:ilvl w:val="1"/>
          <w:numId w:val="25"/>
        </w:numPr>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Report of Independent Registered Public Accounting Firm</w:t>
        </w:r>
      </w:hyperlink>
    </w:p>
    <w:p>
      <w:pPr>
        <w:spacing w:after="0" w:line="23" w:lineRule="exact"/>
        <w:rPr>
          <w:rFonts w:ascii="Arial" w:cs="Arial" w:eastAsia="Arial" w:hAnsi="Arial"/>
          <w:sz w:val="18"/>
          <w:szCs w:val="18"/>
          <w:u w:val="single" w:color="auto"/>
          <w:color w:val="0000FF"/>
        </w:rPr>
      </w:pPr>
    </w:p>
    <w:p>
      <w:pPr>
        <w:ind w:left="900" w:hanging="568"/>
        <w:spacing w:after="0"/>
        <w:tabs>
          <w:tab w:leader="none" w:pos="900" w:val="left"/>
        </w:tabs>
        <w:numPr>
          <w:ilvl w:val="1"/>
          <w:numId w:val="25"/>
        </w:numPr>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Consolidated Balance Sheets as of November 30, 2021 and 2020</w:t>
        </w:r>
      </w:hyperlink>
    </w:p>
    <w:p>
      <w:pPr>
        <w:spacing w:after="0" w:line="9" w:lineRule="exact"/>
        <w:rPr>
          <w:rFonts w:ascii="Arial" w:cs="Arial" w:eastAsia="Arial" w:hAnsi="Arial"/>
          <w:sz w:val="18"/>
          <w:szCs w:val="18"/>
          <w:u w:val="single" w:color="auto"/>
          <w:color w:val="0000FF"/>
        </w:rPr>
      </w:pPr>
    </w:p>
    <w:p>
      <w:pPr>
        <w:ind w:left="900" w:hanging="568"/>
        <w:spacing w:after="0"/>
        <w:tabs>
          <w:tab w:leader="none" w:pos="900" w:val="left"/>
        </w:tabs>
        <w:numPr>
          <w:ilvl w:val="1"/>
          <w:numId w:val="25"/>
        </w:numPr>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Consolidated Statements of Operations for the years ended November 30, 2021, 2020 and 2019</w:t>
        </w:r>
      </w:hyperlink>
    </w:p>
    <w:p>
      <w:pPr>
        <w:spacing w:after="0" w:line="9" w:lineRule="exact"/>
        <w:rPr>
          <w:rFonts w:ascii="Arial" w:cs="Arial" w:eastAsia="Arial" w:hAnsi="Arial"/>
          <w:sz w:val="18"/>
          <w:szCs w:val="18"/>
          <w:u w:val="single" w:color="auto"/>
          <w:color w:val="0000FF"/>
        </w:rPr>
      </w:pPr>
    </w:p>
    <w:p>
      <w:pPr>
        <w:ind w:left="900" w:hanging="568"/>
        <w:spacing w:after="0"/>
        <w:tabs>
          <w:tab w:leader="none" w:pos="900" w:val="left"/>
        </w:tabs>
        <w:numPr>
          <w:ilvl w:val="1"/>
          <w:numId w:val="25"/>
        </w:numPr>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Consolidated Statements of Comprehensive Income (Loss) for the years ended November 30, 2021, 2020 and 2019</w:t>
        </w:r>
      </w:hyperlink>
    </w:p>
    <w:p>
      <w:pPr>
        <w:spacing w:after="0" w:line="9" w:lineRule="exact"/>
        <w:rPr>
          <w:rFonts w:ascii="Arial" w:cs="Arial" w:eastAsia="Arial" w:hAnsi="Arial"/>
          <w:sz w:val="18"/>
          <w:szCs w:val="18"/>
          <w:u w:val="single" w:color="auto"/>
          <w:color w:val="0000FF"/>
        </w:rPr>
      </w:pPr>
    </w:p>
    <w:p>
      <w:pPr>
        <w:ind w:left="900" w:hanging="568"/>
        <w:spacing w:after="0"/>
        <w:tabs>
          <w:tab w:leader="none" w:pos="900" w:val="left"/>
        </w:tabs>
        <w:numPr>
          <w:ilvl w:val="1"/>
          <w:numId w:val="25"/>
        </w:numPr>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Consolidated Statements of Stockholders’ Equity for the years ended November 30, 2021, 2020 and 2019</w:t>
        </w:r>
      </w:hyperlink>
    </w:p>
    <w:p>
      <w:pPr>
        <w:spacing w:after="0" w:line="9" w:lineRule="exact"/>
        <w:rPr>
          <w:rFonts w:ascii="Arial" w:cs="Arial" w:eastAsia="Arial" w:hAnsi="Arial"/>
          <w:sz w:val="18"/>
          <w:szCs w:val="18"/>
          <w:u w:val="single" w:color="auto"/>
          <w:color w:val="0000FF"/>
        </w:rPr>
      </w:pPr>
    </w:p>
    <w:p>
      <w:pPr>
        <w:ind w:left="900" w:hanging="568"/>
        <w:spacing w:after="0"/>
        <w:tabs>
          <w:tab w:leader="none" w:pos="900" w:val="left"/>
        </w:tabs>
        <w:numPr>
          <w:ilvl w:val="1"/>
          <w:numId w:val="25"/>
        </w:numPr>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Consolidated Statements of Cash Flows for the years ended November 30, 2021, 2020 and 2019</w:t>
        </w:r>
      </w:hyperlink>
    </w:p>
    <w:p>
      <w:pPr>
        <w:spacing w:after="0" w:line="9" w:lineRule="exact"/>
        <w:rPr>
          <w:rFonts w:ascii="Arial" w:cs="Arial" w:eastAsia="Arial" w:hAnsi="Arial"/>
          <w:sz w:val="18"/>
          <w:szCs w:val="18"/>
          <w:u w:val="single" w:color="auto"/>
          <w:color w:val="0000FF"/>
        </w:rPr>
      </w:pPr>
    </w:p>
    <w:p>
      <w:pPr>
        <w:ind w:left="900" w:hanging="568"/>
        <w:spacing w:after="0"/>
        <w:tabs>
          <w:tab w:leader="none" w:pos="900" w:val="left"/>
        </w:tabs>
        <w:numPr>
          <w:ilvl w:val="1"/>
          <w:numId w:val="25"/>
        </w:numPr>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Notes to Consolidated Financial Statements</w:t>
        </w:r>
      </w:hyperlink>
    </w:p>
    <w:p>
      <w:pPr>
        <w:spacing w:after="0" w:line="237" w:lineRule="exact"/>
        <w:rPr>
          <w:rFonts w:ascii="Arial" w:cs="Arial" w:eastAsia="Arial" w:hAnsi="Arial"/>
          <w:sz w:val="18"/>
          <w:szCs w:val="18"/>
          <w:u w:val="single" w:color="auto"/>
          <w:color w:val="0000FF"/>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5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6"/>
          <w:szCs w:val="16"/>
          <w:color w:val="auto"/>
        </w:rPr>
        <w:t>Financial statement schedules are omitted as they are either not required or the information is otherwise included in the consolidated financial statements.</w:t>
      </w:r>
    </w:p>
    <w:p>
      <w:pPr>
        <w:spacing w:after="0" w:line="2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56" w:lineRule="exact"/>
        <w:rPr>
          <w:rFonts w:ascii="Arial" w:cs="Arial" w:eastAsia="Arial" w:hAnsi="Arial"/>
          <w:sz w:val="18"/>
          <w:szCs w:val="18"/>
          <w:color w:val="auto"/>
        </w:rPr>
      </w:pPr>
    </w:p>
    <w:p>
      <w:pPr>
        <w:ind w:right="60"/>
        <w:spacing w:after="0" w:line="311" w:lineRule="auto"/>
        <w:rPr>
          <w:sz w:val="20"/>
          <w:szCs w:val="20"/>
          <w:color w:val="auto"/>
        </w:rPr>
      </w:pPr>
      <w:r>
        <w:rPr>
          <w:rFonts w:ascii="Arial" w:cs="Arial" w:eastAsia="Arial" w:hAnsi="Arial"/>
          <w:sz w:val="16"/>
          <w:szCs w:val="16"/>
          <w:color w:val="auto"/>
        </w:rPr>
        <w:t>Documents listed below, except for documents followed by parenthetical numbers, are being filed as exhibits. Documents followed by parenthetical numbers are not being filed herewith and, pursuant to Rule 12b-32 of the General Rules and Regulations promulgated by the SEC under the Exchange Act, reference is made to such documents as previously filed as exhibits with the SEC. Our file number under the Exchange Act is 0-19417.</w:t>
      </w:r>
    </w:p>
    <w:p>
      <w:pPr>
        <w:spacing w:after="0" w:line="51"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Arial" w:cs="Arial" w:eastAsia="Arial" w:hAnsi="Arial"/>
                <w:sz w:val="18"/>
                <w:szCs w:val="18"/>
                <w:color w:val="auto"/>
              </w:rPr>
              <w:t>2.1*</w:t>
            </w:r>
          </w:p>
        </w:tc>
        <w:tc>
          <w:tcPr>
            <w:tcW w:w="10220" w:type="dxa"/>
            <w:vAlign w:val="bottom"/>
            <w:gridSpan w:val="23"/>
          </w:tcPr>
          <w:p>
            <w:pPr>
              <w:spacing w:after="0"/>
              <w:rPr>
                <w:rFonts w:ascii="Arial" w:cs="Arial" w:eastAsia="Arial" w:hAnsi="Arial"/>
                <w:sz w:val="18"/>
                <w:szCs w:val="18"/>
                <w:color w:val="0000FF"/>
                <w:w w:val="94"/>
              </w:rPr>
            </w:pPr>
            <w:hyperlink r:id="rId106">
              <w:r>
                <w:rPr>
                  <w:rFonts w:ascii="Arial" w:cs="Arial" w:eastAsia="Arial" w:hAnsi="Arial"/>
                  <w:sz w:val="18"/>
                  <w:szCs w:val="18"/>
                  <w:color w:val="0000FF"/>
                  <w:w w:val="94"/>
                </w:rPr>
                <w:t>Stock Purchase Agreement, dated March 28, 2019, by and among Progress Software Corporation, Ipswitch, Inc. and Roger Greene (1)</w:t>
              </w:r>
            </w:hyperlink>
          </w:p>
        </w:tc>
      </w:tr>
      <w:tr>
        <w:trPr>
          <w:trHeight w:val="20"/>
        </w:trPr>
        <w:tc>
          <w:tcPr>
            <w:tcW w:w="1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2.2*</w:t>
            </w:r>
          </w:p>
        </w:tc>
        <w:tc>
          <w:tcPr>
            <w:tcW w:w="10220" w:type="dxa"/>
            <w:vAlign w:val="bottom"/>
            <w:gridSpan w:val="23"/>
          </w:tcPr>
          <w:p>
            <w:pPr>
              <w:spacing w:after="0"/>
              <w:rPr>
                <w:rFonts w:ascii="Arial" w:cs="Arial" w:eastAsia="Arial" w:hAnsi="Arial"/>
                <w:sz w:val="18"/>
                <w:szCs w:val="18"/>
                <w:color w:val="0000FF"/>
                <w:w w:val="91"/>
              </w:rPr>
            </w:pPr>
            <w:hyperlink r:id="rId107">
              <w:r>
                <w:rPr>
                  <w:rFonts w:ascii="Arial" w:cs="Arial" w:eastAsia="Arial" w:hAnsi="Arial"/>
                  <w:sz w:val="18"/>
                  <w:szCs w:val="18"/>
                  <w:color w:val="0000FF"/>
                  <w:w w:val="91"/>
                </w:rPr>
                <w:t>Agreement and Plan of Merger, dated September 4, 2020, by and among Progress Software Corporation, Go Big Transitory Subsidiary, Inc.,</w:t>
              </w:r>
            </w:hyperlink>
          </w:p>
        </w:tc>
      </w:tr>
      <w:tr>
        <w:trPr>
          <w:trHeight w:val="155"/>
        </w:trPr>
        <w:tc>
          <w:tcPr>
            <w:tcW w:w="102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Chef Software Inc. and Shareholder Representative Services LLC (2)</w:t>
              </w:r>
            </w:hyperlink>
          </w:p>
        </w:tc>
        <w:tc>
          <w:tcPr>
            <w:tcW w:w="512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2.3</w:t>
            </w:r>
          </w:p>
        </w:tc>
        <w:tc>
          <w:tcPr>
            <w:tcW w:w="10220" w:type="dxa"/>
            <w:vAlign w:val="bottom"/>
            <w:gridSpan w:val="23"/>
          </w:tcPr>
          <w:p>
            <w:pPr>
              <w:spacing w:after="0"/>
              <w:rPr>
                <w:rFonts w:ascii="Arial" w:cs="Arial" w:eastAsia="Arial" w:hAnsi="Arial"/>
                <w:sz w:val="18"/>
                <w:szCs w:val="18"/>
                <w:color w:val="0000FF"/>
                <w:w w:val="94"/>
              </w:rPr>
            </w:pPr>
            <w:hyperlink r:id="rId108">
              <w:r>
                <w:rPr>
                  <w:rFonts w:ascii="Arial" w:cs="Arial" w:eastAsia="Arial" w:hAnsi="Arial"/>
                  <w:sz w:val="18"/>
                  <w:szCs w:val="18"/>
                  <w:color w:val="0000FF"/>
                  <w:w w:val="94"/>
                </w:rPr>
                <w:t>Stock Purchase Agreement, dated September 23, 2021, by and among Progress Software Corporation, MPC Kappa Holdings, Inc., the</w:t>
              </w:r>
            </w:hyperlink>
          </w:p>
        </w:tc>
      </w:tr>
      <w:tr>
        <w:trPr>
          <w:trHeight w:val="155"/>
        </w:trPr>
        <w:tc>
          <w:tcPr>
            <w:tcW w:w="1020" w:type="dxa"/>
            <w:vAlign w:val="bottom"/>
          </w:tcPr>
          <w:p>
            <w:pPr>
              <w:spacing w:after="0"/>
              <w:rPr>
                <w:sz w:val="13"/>
                <w:szCs w:val="13"/>
                <w:color w:val="auto"/>
              </w:rPr>
            </w:pPr>
          </w:p>
        </w:tc>
        <w:tc>
          <w:tcPr>
            <w:tcW w:w="96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Sellers named therein and the Seller Representative (3)</w:t>
              </w:r>
            </w:hyperlink>
          </w:p>
        </w:tc>
        <w:tc>
          <w:tcPr>
            <w:tcW w:w="3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2.4</w:t>
            </w:r>
          </w:p>
        </w:tc>
        <w:tc>
          <w:tcPr>
            <w:tcW w:w="3960" w:type="dxa"/>
            <w:vAlign w:val="bottom"/>
            <w:tcBorders>
              <w:top w:val="single" w:sz="8" w:color="0000FF"/>
            </w:tcBorders>
            <w:gridSpan w:val="6"/>
          </w:tcPr>
          <w:p>
            <w:pPr>
              <w:spacing w:after="0"/>
              <w:rPr>
                <w:rFonts w:ascii="Arial" w:cs="Arial" w:eastAsia="Arial" w:hAnsi="Arial"/>
                <w:sz w:val="18"/>
                <w:szCs w:val="18"/>
                <w:color w:val="0000FF"/>
              </w:rPr>
            </w:pPr>
            <w:hyperlink r:id="rId109">
              <w:r>
                <w:rPr>
                  <w:rFonts w:ascii="Arial" w:cs="Arial" w:eastAsia="Arial" w:hAnsi="Arial"/>
                  <w:sz w:val="18"/>
                  <w:szCs w:val="18"/>
                  <w:color w:val="0000FF"/>
                </w:rPr>
                <w:t xml:space="preserve">Plan of Domestication </w:t>
              </w:r>
            </w:hyperlink>
            <w:r>
              <w:rPr>
                <w:rFonts w:ascii="Arial" w:cs="Arial" w:eastAsia="Arial" w:hAnsi="Arial"/>
                <w:sz w:val="18"/>
                <w:szCs w:val="18"/>
                <w:color w:val="0000FF"/>
              </w:rPr>
              <w:t>(4)</w:t>
            </w:r>
          </w:p>
        </w:tc>
        <w:tc>
          <w:tcPr>
            <w:tcW w:w="6260" w:type="dxa"/>
            <w:vAlign w:val="bottom"/>
            <w:gridSpan w:val="17"/>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3.1</w:t>
            </w:r>
          </w:p>
        </w:tc>
        <w:tc>
          <w:tcPr>
            <w:tcW w:w="6340" w:type="dxa"/>
            <w:vAlign w:val="bottom"/>
            <w:tcBorders>
              <w:bottom w:val="single" w:sz="8" w:color="0000FF"/>
            </w:tcBorders>
            <w:gridSpan w:val="14"/>
          </w:tcPr>
          <w:p>
            <w:pPr>
              <w:spacing w:after="0"/>
              <w:rPr>
                <w:rFonts w:ascii="Arial" w:cs="Arial" w:eastAsia="Arial" w:hAnsi="Arial"/>
                <w:sz w:val="18"/>
                <w:szCs w:val="18"/>
                <w:color w:val="0000FF"/>
                <w:w w:val="92"/>
              </w:rPr>
            </w:pPr>
            <w:hyperlink r:id="rId110">
              <w:r>
                <w:rPr>
                  <w:rFonts w:ascii="Arial" w:cs="Arial" w:eastAsia="Arial" w:hAnsi="Arial"/>
                  <w:sz w:val="18"/>
                  <w:szCs w:val="18"/>
                  <w:color w:val="0000FF"/>
                  <w:w w:val="92"/>
                </w:rPr>
                <w:t>Certificate of Conversion from Non-Delaware Corporation to Delaware Corporation (</w:t>
              </w:r>
            </w:hyperlink>
            <w:r>
              <w:rPr>
                <w:rFonts w:ascii="Arial" w:cs="Arial" w:eastAsia="Arial" w:hAnsi="Arial"/>
                <w:sz w:val="18"/>
                <w:szCs w:val="18"/>
                <w:color w:val="0000FF"/>
                <w:w w:val="92"/>
              </w:rPr>
              <w:t>5)</w:t>
            </w:r>
          </w:p>
        </w:tc>
        <w:tc>
          <w:tcPr>
            <w:tcW w:w="3880" w:type="dxa"/>
            <w:vAlign w:val="bottom"/>
            <w:gridSpan w:val="9"/>
          </w:tcPr>
          <w:p>
            <w:pPr>
              <w:spacing w:after="0"/>
              <w:rPr>
                <w:sz w:val="18"/>
                <w:szCs w:val="18"/>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2240" w:type="dxa"/>
            <w:vAlign w:val="bottom"/>
            <w:tcBorders>
              <w:bottom w:val="single" w:sz="8" w:color="0000FF"/>
            </w:tcBorders>
            <w:gridSpan w:val="3"/>
          </w:tcPr>
          <w:p>
            <w:pPr>
              <w:spacing w:after="0"/>
              <w:rPr>
                <w:rFonts w:ascii="Arial" w:cs="Arial" w:eastAsia="Arial" w:hAnsi="Arial"/>
                <w:sz w:val="18"/>
                <w:szCs w:val="18"/>
                <w:color w:val="0000FF"/>
                <w:w w:val="93"/>
              </w:rPr>
            </w:pPr>
            <w:hyperlink r:id="rId111">
              <w:r>
                <w:rPr>
                  <w:rFonts w:ascii="Arial" w:cs="Arial" w:eastAsia="Arial" w:hAnsi="Arial"/>
                  <w:sz w:val="18"/>
                  <w:szCs w:val="18"/>
                  <w:color w:val="0000FF"/>
                  <w:w w:val="93"/>
                </w:rPr>
                <w:t>Certificate of Incorporation (</w:t>
              </w:r>
            </w:hyperlink>
            <w:r>
              <w:rPr>
                <w:rFonts w:ascii="Arial" w:cs="Arial" w:eastAsia="Arial" w:hAnsi="Arial"/>
                <w:sz w:val="18"/>
                <w:szCs w:val="18"/>
                <w:color w:val="0000FF"/>
                <w:w w:val="93"/>
              </w:rPr>
              <w:t>6)</w:t>
            </w:r>
          </w:p>
        </w:tc>
        <w:tc>
          <w:tcPr>
            <w:tcW w:w="7980" w:type="dxa"/>
            <w:vAlign w:val="bottom"/>
            <w:gridSpan w:val="20"/>
          </w:tcPr>
          <w:p>
            <w:pPr>
              <w:spacing w:after="0"/>
              <w:rPr>
                <w:sz w:val="18"/>
                <w:szCs w:val="18"/>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0220" w:type="dxa"/>
            <w:vAlign w:val="bottom"/>
            <w:gridSpan w:val="23"/>
          </w:tcPr>
          <w:p>
            <w:pPr>
              <w:spacing w:after="0"/>
              <w:rPr>
                <w:rFonts w:ascii="Arial" w:cs="Arial" w:eastAsia="Arial" w:hAnsi="Arial"/>
                <w:sz w:val="18"/>
                <w:szCs w:val="18"/>
                <w:color w:val="0000FF"/>
              </w:rPr>
            </w:pPr>
            <w:hyperlink r:id="rId112">
              <w:r>
                <w:rPr>
                  <w:rFonts w:ascii="Arial" w:cs="Arial" w:eastAsia="Arial" w:hAnsi="Arial"/>
                  <w:sz w:val="18"/>
                  <w:szCs w:val="18"/>
                  <w:color w:val="0000FF"/>
                </w:rPr>
                <w:t xml:space="preserve">Certificate of Correction to Certification of Incorporation </w:t>
              </w:r>
            </w:hyperlink>
            <w:r>
              <w:rPr>
                <w:rFonts w:ascii="Arial" w:cs="Arial" w:eastAsia="Arial" w:hAnsi="Arial"/>
                <w:sz w:val="18"/>
                <w:szCs w:val="18"/>
                <w:color w:val="0000FF"/>
              </w:rPr>
              <w:t>(7)</w:t>
            </w:r>
          </w:p>
        </w:tc>
      </w:tr>
      <w:tr>
        <w:trPr>
          <w:trHeight w:val="20"/>
        </w:trPr>
        <w:tc>
          <w:tcPr>
            <w:tcW w:w="1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3.3</w:t>
            </w:r>
          </w:p>
        </w:tc>
        <w:tc>
          <w:tcPr>
            <w:tcW w:w="4760" w:type="dxa"/>
            <w:vAlign w:val="bottom"/>
            <w:tcBorders>
              <w:bottom w:val="single" w:sz="8" w:color="0000FF"/>
            </w:tcBorders>
            <w:gridSpan w:val="11"/>
          </w:tcPr>
          <w:p>
            <w:pPr>
              <w:spacing w:after="0"/>
              <w:rPr>
                <w:rFonts w:ascii="Arial" w:cs="Arial" w:eastAsia="Arial" w:hAnsi="Arial"/>
                <w:sz w:val="18"/>
                <w:szCs w:val="18"/>
                <w:color w:val="0000FF"/>
                <w:w w:val="89"/>
              </w:rPr>
            </w:pPr>
            <w:hyperlink r:id="rId113">
              <w:r>
                <w:rPr>
                  <w:rFonts w:ascii="Arial" w:cs="Arial" w:eastAsia="Arial" w:hAnsi="Arial"/>
                  <w:sz w:val="18"/>
                  <w:szCs w:val="18"/>
                  <w:color w:val="0000FF"/>
                  <w:w w:val="89"/>
                </w:rPr>
                <w:t xml:space="preserve">Amended and Restated By-Laws, as amended March 19, 2019 </w:t>
              </w:r>
            </w:hyperlink>
            <w:r>
              <w:rPr>
                <w:rFonts w:ascii="Arial" w:cs="Arial" w:eastAsia="Arial" w:hAnsi="Arial"/>
                <w:sz w:val="18"/>
                <w:szCs w:val="18"/>
                <w:color w:val="0000FF"/>
                <w:w w:val="89"/>
              </w:rPr>
              <w:t>(8)</w:t>
            </w:r>
          </w:p>
        </w:tc>
        <w:tc>
          <w:tcPr>
            <w:tcW w:w="5460" w:type="dxa"/>
            <w:vAlign w:val="bottom"/>
            <w:gridSpan w:val="12"/>
          </w:tcPr>
          <w:p>
            <w:pPr>
              <w:spacing w:after="0"/>
              <w:rPr>
                <w:sz w:val="18"/>
                <w:szCs w:val="18"/>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10220" w:type="dxa"/>
            <w:vAlign w:val="bottom"/>
            <w:gridSpan w:val="23"/>
          </w:tcPr>
          <w:p>
            <w:pPr>
              <w:spacing w:after="0"/>
              <w:rPr>
                <w:rFonts w:ascii="Arial" w:cs="Arial" w:eastAsia="Arial" w:hAnsi="Arial"/>
                <w:sz w:val="18"/>
                <w:szCs w:val="18"/>
                <w:color w:val="0000FF"/>
              </w:rPr>
            </w:pPr>
            <w:hyperlink r:id="rId114">
              <w:r>
                <w:rPr>
                  <w:rFonts w:ascii="Arial" w:cs="Arial" w:eastAsia="Arial" w:hAnsi="Arial"/>
                  <w:sz w:val="18"/>
                  <w:szCs w:val="18"/>
                  <w:color w:val="0000FF"/>
                </w:rPr>
                <w:t xml:space="preserve">Specimen certificate for the Common Stock </w:t>
              </w:r>
            </w:hyperlink>
            <w:r>
              <w:rPr>
                <w:rFonts w:ascii="Arial" w:cs="Arial" w:eastAsia="Arial" w:hAnsi="Arial"/>
                <w:sz w:val="18"/>
                <w:szCs w:val="18"/>
                <w:color w:val="0000FF"/>
              </w:rPr>
              <w:t>(9)</w:t>
            </w: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4.2</w:t>
            </w:r>
          </w:p>
        </w:tc>
        <w:tc>
          <w:tcPr>
            <w:tcW w:w="29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0"/>
              </w:rPr>
            </w:pPr>
            <w:hyperlink r:id="rId115">
              <w:r>
                <w:rPr>
                  <w:rFonts w:ascii="Arial" w:cs="Arial" w:eastAsia="Arial" w:hAnsi="Arial"/>
                  <w:sz w:val="18"/>
                  <w:szCs w:val="18"/>
                  <w:color w:val="0000FF"/>
                  <w:w w:val="90"/>
                </w:rPr>
                <w:t>Description of Registered Securities (10)</w:t>
              </w:r>
            </w:hyperlink>
          </w:p>
        </w:tc>
        <w:tc>
          <w:tcPr>
            <w:tcW w:w="460" w:type="dxa"/>
            <w:vAlign w:val="bottom"/>
            <w:tcBorders>
              <w:top w:val="single" w:sz="8" w:color="0000FF"/>
            </w:tcBorders>
          </w:tcPr>
          <w:p>
            <w:pPr>
              <w:spacing w:after="0"/>
              <w:rPr>
                <w:sz w:val="18"/>
                <w:szCs w:val="18"/>
                <w:color w:val="auto"/>
              </w:rPr>
            </w:pPr>
          </w:p>
        </w:tc>
        <w:tc>
          <w:tcPr>
            <w:tcW w:w="6800" w:type="dxa"/>
            <w:vAlign w:val="bottom"/>
            <w:gridSpan w:val="18"/>
          </w:tcPr>
          <w:p>
            <w:pPr>
              <w:spacing w:after="0"/>
              <w:rPr>
                <w:sz w:val="18"/>
                <w:szCs w:val="18"/>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4.3</w:t>
            </w:r>
          </w:p>
        </w:tc>
        <w:tc>
          <w:tcPr>
            <w:tcW w:w="10220" w:type="dxa"/>
            <w:vAlign w:val="bottom"/>
            <w:gridSpan w:val="23"/>
          </w:tcPr>
          <w:p>
            <w:pPr>
              <w:spacing w:after="0"/>
              <w:rPr>
                <w:rFonts w:ascii="Arial" w:cs="Arial" w:eastAsia="Arial" w:hAnsi="Arial"/>
                <w:sz w:val="18"/>
                <w:szCs w:val="18"/>
                <w:color w:val="0000FF"/>
                <w:w w:val="97"/>
              </w:rPr>
            </w:pPr>
            <w:hyperlink r:id="rId116">
              <w:r>
                <w:rPr>
                  <w:rFonts w:ascii="Arial" w:cs="Arial" w:eastAsia="Arial" w:hAnsi="Arial"/>
                  <w:sz w:val="18"/>
                  <w:szCs w:val="18"/>
                  <w:color w:val="0000FF"/>
                  <w:w w:val="97"/>
                </w:rPr>
                <w:t>Indenture, dated as of April 13, 2021, between Progress Software Corporation and U.S. Bank, National Association, as trustee (11)</w:t>
              </w:r>
            </w:hyperlink>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4.4</w:t>
            </w:r>
          </w:p>
        </w:tc>
        <w:tc>
          <w:tcPr>
            <w:tcW w:w="9420" w:type="dxa"/>
            <w:vAlign w:val="bottom"/>
            <w:tcBorders>
              <w:top w:val="single" w:sz="8" w:color="0000FF"/>
            </w:tcBorders>
            <w:gridSpan w:val="19"/>
          </w:tcPr>
          <w:p>
            <w:pPr>
              <w:spacing w:after="0"/>
              <w:rPr>
                <w:rFonts w:ascii="Arial" w:cs="Arial" w:eastAsia="Arial" w:hAnsi="Arial"/>
                <w:sz w:val="18"/>
                <w:szCs w:val="18"/>
                <w:color w:val="0000FF"/>
              </w:rPr>
            </w:pPr>
            <w:hyperlink r:id="rId116">
              <w:r>
                <w:rPr>
                  <w:rFonts w:ascii="Arial" w:cs="Arial" w:eastAsia="Arial" w:hAnsi="Arial"/>
                  <w:sz w:val="18"/>
                  <w:szCs w:val="18"/>
                  <w:color w:val="0000FF"/>
                </w:rPr>
                <w:t>Form of 1.00% Convertible Senior Note due 2026 (included as Exhibit A in Exhibit 4.3) (11)</w:t>
              </w:r>
            </w:hyperlink>
          </w:p>
        </w:tc>
        <w:tc>
          <w:tcPr>
            <w:tcW w:w="800" w:type="dxa"/>
            <w:vAlign w:val="bottom"/>
            <w:gridSpan w:val="4"/>
          </w:tcPr>
          <w:p>
            <w:pPr>
              <w:spacing w:after="0"/>
              <w:rPr>
                <w:sz w:val="18"/>
                <w:szCs w:val="18"/>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41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r:id="rId117">
              <w:r>
                <w:rPr>
                  <w:rFonts w:ascii="Arial" w:cs="Arial" w:eastAsia="Arial" w:hAnsi="Arial"/>
                  <w:sz w:val="18"/>
                  <w:szCs w:val="18"/>
                  <w:color w:val="0000FF"/>
                  <w:w w:val="92"/>
                </w:rPr>
                <w:t xml:space="preserve">1992 Incentive and Nonqualified Stock Option Plan </w:t>
              </w:r>
            </w:hyperlink>
            <w:r>
              <w:rPr>
                <w:rFonts w:ascii="Arial" w:cs="Arial" w:eastAsia="Arial" w:hAnsi="Arial"/>
                <w:sz w:val="18"/>
                <w:szCs w:val="18"/>
                <w:color w:val="0000FF"/>
                <w:w w:val="92"/>
              </w:rPr>
              <w:t>(12)</w:t>
            </w:r>
          </w:p>
        </w:tc>
        <w:tc>
          <w:tcPr>
            <w:tcW w:w="2600" w:type="dxa"/>
            <w:vAlign w:val="bottom"/>
            <w:tcBorders>
              <w:top w:val="single" w:sz="8" w:color="0000FF"/>
            </w:tcBorders>
            <w:gridSpan w:val="7"/>
          </w:tcPr>
          <w:p>
            <w:pPr>
              <w:spacing w:after="0"/>
              <w:rPr>
                <w:sz w:val="18"/>
                <w:szCs w:val="18"/>
                <w:color w:val="auto"/>
              </w:rPr>
            </w:pPr>
          </w:p>
        </w:tc>
        <w:tc>
          <w:tcPr>
            <w:tcW w:w="3520" w:type="dxa"/>
            <w:vAlign w:val="bottom"/>
            <w:gridSpan w:val="8"/>
          </w:tcPr>
          <w:p>
            <w:pPr>
              <w:spacing w:after="0"/>
              <w:rPr>
                <w:sz w:val="18"/>
                <w:szCs w:val="18"/>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0220" w:type="dxa"/>
            <w:vAlign w:val="bottom"/>
            <w:gridSpan w:val="23"/>
          </w:tcPr>
          <w:p>
            <w:pPr>
              <w:spacing w:after="0"/>
              <w:rPr>
                <w:rFonts w:ascii="Arial" w:cs="Arial" w:eastAsia="Arial" w:hAnsi="Arial"/>
                <w:sz w:val="18"/>
                <w:szCs w:val="18"/>
                <w:color w:val="0000FF"/>
              </w:rPr>
            </w:pPr>
            <w:hyperlink r:id="rId118">
              <w:r>
                <w:rPr>
                  <w:rFonts w:ascii="Arial" w:cs="Arial" w:eastAsia="Arial" w:hAnsi="Arial"/>
                  <w:sz w:val="18"/>
                  <w:szCs w:val="18"/>
                  <w:color w:val="0000FF"/>
                </w:rPr>
                <w:t>1994 Stock Incentive Plan (1</w:t>
              </w:r>
            </w:hyperlink>
            <w:r>
              <w:rPr>
                <w:rFonts w:ascii="Arial" w:cs="Arial" w:eastAsia="Arial" w:hAnsi="Arial"/>
                <w:sz w:val="18"/>
                <w:szCs w:val="18"/>
                <w:color w:val="0000FF"/>
              </w:rPr>
              <w:t>3)</w:t>
            </w:r>
          </w:p>
        </w:tc>
      </w:tr>
      <w:tr>
        <w:trPr>
          <w:trHeight w:val="20"/>
        </w:trPr>
        <w:tc>
          <w:tcPr>
            <w:tcW w:w="1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10.3**</w:t>
            </w:r>
          </w:p>
        </w:tc>
        <w:tc>
          <w:tcPr>
            <w:tcW w:w="10220" w:type="dxa"/>
            <w:vAlign w:val="bottom"/>
            <w:gridSpan w:val="23"/>
          </w:tcPr>
          <w:p>
            <w:pPr>
              <w:spacing w:after="0"/>
              <w:rPr>
                <w:rFonts w:ascii="Arial" w:cs="Arial" w:eastAsia="Arial" w:hAnsi="Arial"/>
                <w:sz w:val="18"/>
                <w:szCs w:val="18"/>
                <w:color w:val="0000FF"/>
              </w:rPr>
            </w:pPr>
            <w:hyperlink r:id="rId119">
              <w:r>
                <w:rPr>
                  <w:rFonts w:ascii="Arial" w:cs="Arial" w:eastAsia="Arial" w:hAnsi="Arial"/>
                  <w:sz w:val="18"/>
                  <w:szCs w:val="18"/>
                  <w:color w:val="0000FF"/>
                </w:rPr>
                <w:t xml:space="preserve">1997 Stock Incentive Plan, as amended and restated </w:t>
              </w:r>
            </w:hyperlink>
            <w:r>
              <w:rPr>
                <w:rFonts w:ascii="Arial" w:cs="Arial" w:eastAsia="Arial" w:hAnsi="Arial"/>
                <w:sz w:val="18"/>
                <w:szCs w:val="18"/>
                <w:color w:val="0000FF"/>
              </w:rPr>
              <w:t>(14)</w:t>
            </w:r>
          </w:p>
        </w:tc>
      </w:tr>
      <w:tr>
        <w:trPr>
          <w:trHeight w:val="20"/>
        </w:trPr>
        <w:tc>
          <w:tcPr>
            <w:tcW w:w="1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2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7040" w:type="dxa"/>
            <w:vAlign w:val="bottom"/>
            <w:tcBorders>
              <w:bottom w:val="single" w:sz="8" w:color="0000FF"/>
            </w:tcBorders>
            <w:gridSpan w:val="16"/>
          </w:tcPr>
          <w:p>
            <w:pPr>
              <w:spacing w:after="0"/>
              <w:rPr>
                <w:rFonts w:ascii="Arial" w:cs="Arial" w:eastAsia="Arial" w:hAnsi="Arial"/>
                <w:sz w:val="18"/>
                <w:szCs w:val="18"/>
                <w:color w:val="0000FF"/>
                <w:w w:val="91"/>
              </w:rPr>
            </w:pPr>
            <w:hyperlink r:id="rId120">
              <w:r>
                <w:rPr>
                  <w:rFonts w:ascii="Arial" w:cs="Arial" w:eastAsia="Arial" w:hAnsi="Arial"/>
                  <w:sz w:val="18"/>
                  <w:szCs w:val="18"/>
                  <w:color w:val="0000FF"/>
                  <w:w w:val="91"/>
                </w:rPr>
                <w:t xml:space="preserve">Form of Employee Retention and Motivation Agreement (effective prior to September 2014) </w:t>
              </w:r>
            </w:hyperlink>
            <w:r>
              <w:rPr>
                <w:rFonts w:ascii="Arial" w:cs="Arial" w:eastAsia="Arial" w:hAnsi="Arial"/>
                <w:sz w:val="18"/>
                <w:szCs w:val="18"/>
                <w:color w:val="0000FF"/>
                <w:w w:val="91"/>
              </w:rPr>
              <w:t>(15)</w:t>
            </w:r>
          </w:p>
        </w:tc>
        <w:tc>
          <w:tcPr>
            <w:tcW w:w="3180" w:type="dxa"/>
            <w:vAlign w:val="bottom"/>
            <w:gridSpan w:val="7"/>
          </w:tcPr>
          <w:p>
            <w:pPr>
              <w:spacing w:after="0"/>
              <w:rPr>
                <w:sz w:val="18"/>
                <w:szCs w:val="18"/>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10.5**</w:t>
            </w:r>
          </w:p>
        </w:tc>
        <w:tc>
          <w:tcPr>
            <w:tcW w:w="10220" w:type="dxa"/>
            <w:vAlign w:val="bottom"/>
            <w:gridSpan w:val="23"/>
          </w:tcPr>
          <w:p>
            <w:pPr>
              <w:spacing w:after="0"/>
              <w:rPr>
                <w:rFonts w:ascii="Arial" w:cs="Arial" w:eastAsia="Arial" w:hAnsi="Arial"/>
                <w:sz w:val="18"/>
                <w:szCs w:val="18"/>
                <w:color w:val="0000FF"/>
              </w:rPr>
            </w:pPr>
            <w:hyperlink r:id="rId121">
              <w:r>
                <w:rPr>
                  <w:rFonts w:ascii="Arial" w:cs="Arial" w:eastAsia="Arial" w:hAnsi="Arial"/>
                  <w:sz w:val="18"/>
                  <w:szCs w:val="18"/>
                  <w:color w:val="0000FF"/>
                </w:rPr>
                <w:t xml:space="preserve">2002 Nonqualified Stock Plan, as amended and restated </w:t>
              </w:r>
            </w:hyperlink>
            <w:r>
              <w:rPr>
                <w:rFonts w:ascii="Arial" w:cs="Arial" w:eastAsia="Arial" w:hAnsi="Arial"/>
                <w:sz w:val="18"/>
                <w:szCs w:val="18"/>
                <w:color w:val="0000FF"/>
              </w:rPr>
              <w:t>(16)</w:t>
            </w: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10.6**</w:t>
            </w:r>
          </w:p>
        </w:tc>
        <w:tc>
          <w:tcPr>
            <w:tcW w:w="4380" w:type="dxa"/>
            <w:vAlign w:val="bottom"/>
            <w:tcBorders>
              <w:top w:val="single" w:sz="8" w:color="0000FF"/>
            </w:tcBorders>
            <w:gridSpan w:val="10"/>
          </w:tcPr>
          <w:p>
            <w:pPr>
              <w:spacing w:after="0"/>
              <w:rPr>
                <w:rFonts w:ascii="Arial" w:cs="Arial" w:eastAsia="Arial" w:hAnsi="Arial"/>
                <w:sz w:val="18"/>
                <w:szCs w:val="18"/>
                <w:color w:val="0000FF"/>
                <w:w w:val="90"/>
              </w:rPr>
            </w:pPr>
            <w:hyperlink r:id="rId122">
              <w:r>
                <w:rPr>
                  <w:rFonts w:ascii="Arial" w:cs="Arial" w:eastAsia="Arial" w:hAnsi="Arial"/>
                  <w:sz w:val="18"/>
                  <w:szCs w:val="18"/>
                  <w:color w:val="0000FF"/>
                  <w:w w:val="90"/>
                </w:rPr>
                <w:t>2004 Inducement Stock Plan, as amended and restated (1</w:t>
              </w:r>
            </w:hyperlink>
            <w:r>
              <w:rPr>
                <w:rFonts w:ascii="Arial" w:cs="Arial" w:eastAsia="Arial" w:hAnsi="Arial"/>
                <w:sz w:val="18"/>
                <w:szCs w:val="18"/>
                <w:color w:val="0000FF"/>
                <w:w w:val="90"/>
              </w:rPr>
              <w:t>7)</w:t>
            </w:r>
          </w:p>
        </w:tc>
        <w:tc>
          <w:tcPr>
            <w:tcW w:w="5840" w:type="dxa"/>
            <w:vAlign w:val="bottom"/>
            <w:gridSpan w:val="13"/>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10.7**</w:t>
            </w:r>
          </w:p>
        </w:tc>
        <w:tc>
          <w:tcPr>
            <w:tcW w:w="7120" w:type="dxa"/>
            <w:vAlign w:val="bottom"/>
            <w:tcBorders>
              <w:bottom w:val="single" w:sz="8" w:color="0000FF"/>
            </w:tcBorders>
            <w:gridSpan w:val="17"/>
          </w:tcPr>
          <w:p>
            <w:pPr>
              <w:spacing w:after="0"/>
              <w:rPr>
                <w:rFonts w:ascii="Arial" w:cs="Arial" w:eastAsia="Arial" w:hAnsi="Arial"/>
                <w:sz w:val="18"/>
                <w:szCs w:val="18"/>
                <w:color w:val="0000FF"/>
                <w:w w:val="88"/>
              </w:rPr>
            </w:pPr>
            <w:hyperlink r:id="rId123">
              <w:r>
                <w:rPr>
                  <w:rFonts w:ascii="Arial" w:cs="Arial" w:eastAsia="Arial" w:hAnsi="Arial"/>
                  <w:sz w:val="18"/>
                  <w:szCs w:val="18"/>
                  <w:color w:val="0000FF"/>
                  <w:w w:val="88"/>
                </w:rPr>
                <w:t>Progress Software Corporation 1991 Employee Stock Purchase Plan, as amended and restated (1</w:t>
              </w:r>
            </w:hyperlink>
            <w:r>
              <w:rPr>
                <w:rFonts w:ascii="Arial" w:cs="Arial" w:eastAsia="Arial" w:hAnsi="Arial"/>
                <w:sz w:val="18"/>
                <w:szCs w:val="18"/>
                <w:color w:val="0000FF"/>
                <w:w w:val="88"/>
              </w:rPr>
              <w:t>8)</w:t>
            </w:r>
          </w:p>
        </w:tc>
        <w:tc>
          <w:tcPr>
            <w:tcW w:w="3100" w:type="dxa"/>
            <w:vAlign w:val="bottom"/>
            <w:gridSpan w:val="6"/>
          </w:tcPr>
          <w:p>
            <w:pPr>
              <w:spacing w:after="0"/>
              <w:rPr>
                <w:sz w:val="18"/>
                <w:szCs w:val="18"/>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10.8**</w:t>
            </w:r>
          </w:p>
        </w:tc>
        <w:tc>
          <w:tcPr>
            <w:tcW w:w="7220" w:type="dxa"/>
            <w:vAlign w:val="bottom"/>
            <w:tcBorders>
              <w:bottom w:val="single" w:sz="8" w:color="0000FF"/>
            </w:tcBorders>
            <w:gridSpan w:val="18"/>
          </w:tcPr>
          <w:p>
            <w:pPr>
              <w:spacing w:after="0"/>
              <w:rPr>
                <w:rFonts w:ascii="Arial" w:cs="Arial" w:eastAsia="Arial" w:hAnsi="Arial"/>
                <w:sz w:val="18"/>
                <w:szCs w:val="18"/>
                <w:color w:val="0000FF"/>
                <w:w w:val="89"/>
              </w:rPr>
            </w:pPr>
            <w:hyperlink r:id="rId124">
              <w:r>
                <w:rPr>
                  <w:rFonts w:ascii="Arial" w:cs="Arial" w:eastAsia="Arial" w:hAnsi="Arial"/>
                  <w:sz w:val="18"/>
                  <w:szCs w:val="18"/>
                  <w:color w:val="0000FF"/>
                  <w:w w:val="89"/>
                </w:rPr>
                <w:t xml:space="preserve">Progress Software Corporation 2008 Stock Option and Incentive Plan, as amended and restated </w:t>
              </w:r>
            </w:hyperlink>
            <w:r>
              <w:rPr>
                <w:rFonts w:ascii="Arial" w:cs="Arial" w:eastAsia="Arial" w:hAnsi="Arial"/>
                <w:sz w:val="18"/>
                <w:szCs w:val="18"/>
                <w:color w:val="0000FF"/>
                <w:w w:val="89"/>
              </w:rPr>
              <w:t>(19)</w:t>
            </w:r>
          </w:p>
        </w:tc>
        <w:tc>
          <w:tcPr>
            <w:tcW w:w="3000" w:type="dxa"/>
            <w:vAlign w:val="bottom"/>
            <w:gridSpan w:val="5"/>
          </w:tcPr>
          <w:p>
            <w:pPr>
              <w:spacing w:after="0"/>
              <w:rPr>
                <w:sz w:val="18"/>
                <w:szCs w:val="18"/>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10.9**</w:t>
            </w:r>
          </w:p>
        </w:tc>
        <w:tc>
          <w:tcPr>
            <w:tcW w:w="10220" w:type="dxa"/>
            <w:vAlign w:val="bottom"/>
            <w:gridSpan w:val="23"/>
          </w:tcPr>
          <w:p>
            <w:pPr>
              <w:spacing w:after="0"/>
              <w:rPr>
                <w:rFonts w:ascii="Arial" w:cs="Arial" w:eastAsia="Arial" w:hAnsi="Arial"/>
                <w:sz w:val="18"/>
                <w:szCs w:val="18"/>
                <w:color w:val="0000FF"/>
                <w:w w:val="92"/>
              </w:rPr>
            </w:pPr>
            <w:hyperlink r:id="rId125">
              <w:r>
                <w:rPr>
                  <w:rFonts w:ascii="Arial" w:cs="Arial" w:eastAsia="Arial" w:hAnsi="Arial"/>
                  <w:sz w:val="18"/>
                  <w:szCs w:val="18"/>
                  <w:color w:val="0000FF"/>
                  <w:w w:val="92"/>
                </w:rPr>
                <w:t>Form of Notice of Grant of Stock Options and Grant Agreement under the Progress Software Corporation 2008 Stock Option and Incentive</w:t>
              </w:r>
            </w:hyperlink>
          </w:p>
        </w:tc>
      </w:tr>
      <w:tr>
        <w:trPr>
          <w:trHeight w:val="155"/>
        </w:trPr>
        <w:tc>
          <w:tcPr>
            <w:tcW w:w="102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Plan (20)</w:t>
              </w:r>
            </w:hyperlink>
          </w:p>
        </w:tc>
        <w:tc>
          <w:tcPr>
            <w:tcW w:w="18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10.10**</w:t>
            </w:r>
          </w:p>
        </w:tc>
        <w:tc>
          <w:tcPr>
            <w:tcW w:w="10220" w:type="dxa"/>
            <w:vAlign w:val="bottom"/>
            <w:gridSpan w:val="23"/>
          </w:tcPr>
          <w:p>
            <w:pPr>
              <w:spacing w:after="0"/>
              <w:rPr>
                <w:rFonts w:ascii="Arial" w:cs="Arial" w:eastAsia="Arial" w:hAnsi="Arial"/>
                <w:sz w:val="18"/>
                <w:szCs w:val="18"/>
                <w:color w:val="0000FF"/>
              </w:rPr>
            </w:pPr>
            <w:hyperlink r:id="rId126">
              <w:r>
                <w:rPr>
                  <w:rFonts w:ascii="Arial" w:cs="Arial" w:eastAsia="Arial" w:hAnsi="Arial"/>
                  <w:sz w:val="18"/>
                  <w:szCs w:val="18"/>
                  <w:color w:val="0000FF"/>
                </w:rPr>
                <w:t>Progress Software Corporation Corporate Executive Bonus Plan (21)</w:t>
              </w:r>
            </w:hyperlink>
          </w:p>
        </w:tc>
      </w:tr>
      <w:tr>
        <w:trPr>
          <w:trHeight w:val="749"/>
        </w:trPr>
        <w:tc>
          <w:tcPr>
            <w:tcW w:w="1020" w:type="dxa"/>
            <w:vAlign w:val="bottom"/>
          </w:tcPr>
          <w:p>
            <w:pPr>
              <w:spacing w:after="0"/>
              <w:rPr>
                <w:sz w:val="24"/>
                <w:szCs w:val="24"/>
                <w:color w:val="auto"/>
              </w:rPr>
            </w:pPr>
          </w:p>
        </w:tc>
        <w:tc>
          <w:tcPr>
            <w:tcW w:w="4760" w:type="dxa"/>
            <w:vAlign w:val="bottom"/>
            <w:tcBorders>
              <w:top w:val="single" w:sz="8" w:color="0000FF"/>
            </w:tcBorders>
            <w:gridSpan w:val="11"/>
          </w:tcPr>
          <w:p>
            <w:pPr>
              <w:ind w:left="4520"/>
              <w:spacing w:after="0"/>
              <w:rPr>
                <w:sz w:val="20"/>
                <w:szCs w:val="20"/>
                <w:color w:val="auto"/>
              </w:rPr>
            </w:pPr>
            <w:r>
              <w:rPr>
                <w:rFonts w:ascii="Arial" w:cs="Arial" w:eastAsia="Arial" w:hAnsi="Arial"/>
                <w:sz w:val="18"/>
                <w:szCs w:val="18"/>
                <w:color w:val="auto"/>
              </w:rPr>
              <w:t>88</w:t>
            </w: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tbl>
      <w:tblPr>
        <w:tblLayout w:type="fixed"/>
        <w:tblInd w:w="12"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10.11**</w:t>
            </w:r>
          </w:p>
        </w:tc>
        <w:tc>
          <w:tcPr>
            <w:tcW w:w="7700" w:type="dxa"/>
            <w:vAlign w:val="bottom"/>
            <w:tcBorders>
              <w:bottom w:val="single" w:sz="8" w:color="0000FF"/>
            </w:tcBorders>
            <w:gridSpan w:val="13"/>
          </w:tcPr>
          <w:p>
            <w:pPr>
              <w:spacing w:after="0"/>
              <w:rPr>
                <w:rFonts w:ascii="Arial" w:cs="Arial" w:eastAsia="Arial" w:hAnsi="Arial"/>
                <w:sz w:val="18"/>
                <w:szCs w:val="18"/>
                <w:color w:val="0000FF"/>
                <w:w w:val="90"/>
              </w:rPr>
            </w:pPr>
            <w:hyperlink r:id="rId129">
              <w:r>
                <w:rPr>
                  <w:rFonts w:ascii="Arial" w:cs="Arial" w:eastAsia="Arial" w:hAnsi="Arial"/>
                  <w:sz w:val="18"/>
                  <w:szCs w:val="18"/>
                  <w:color w:val="0000FF"/>
                  <w:w w:val="90"/>
                </w:rPr>
                <w:t>Progress Software Corporation 2020 Fiscal Year Compensation Program for Non-Employee Directors (2</w:t>
              </w:r>
            </w:hyperlink>
            <w:r>
              <w:rPr>
                <w:rFonts w:ascii="Arial" w:cs="Arial" w:eastAsia="Arial" w:hAnsi="Arial"/>
                <w:sz w:val="18"/>
                <w:szCs w:val="18"/>
                <w:color w:val="0000FF"/>
                <w:w w:val="90"/>
              </w:rPr>
              <w:t>2)</w:t>
            </w:r>
          </w:p>
        </w:tc>
        <w:tc>
          <w:tcPr>
            <w:tcW w:w="2440" w:type="dxa"/>
            <w:vAlign w:val="bottom"/>
            <w:gridSpan w:val="11"/>
          </w:tcPr>
          <w:p>
            <w:pPr>
              <w:spacing w:after="0"/>
              <w:rPr>
                <w:sz w:val="17"/>
                <w:szCs w:val="17"/>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10140" w:type="dxa"/>
            <w:vAlign w:val="bottom"/>
            <w:gridSpan w:val="24"/>
          </w:tcPr>
          <w:p>
            <w:pPr>
              <w:spacing w:after="0"/>
              <w:rPr>
                <w:rFonts w:ascii="Arial" w:cs="Arial" w:eastAsia="Arial" w:hAnsi="Arial"/>
                <w:sz w:val="18"/>
                <w:szCs w:val="18"/>
                <w:color w:val="0000FF"/>
              </w:rPr>
            </w:pPr>
            <w:hyperlink r:id="rId130">
              <w:r>
                <w:rPr>
                  <w:rFonts w:ascii="Arial" w:cs="Arial" w:eastAsia="Arial" w:hAnsi="Arial"/>
                  <w:sz w:val="18"/>
                  <w:szCs w:val="18"/>
                  <w:color w:val="0000FF"/>
                </w:rPr>
                <w:t>Form of Deferred Stock Unit Agreement under the Progress Software Corporation 2008 Stock Option and Incentive Plan (2</w:t>
              </w:r>
            </w:hyperlink>
            <w:r>
              <w:rPr>
                <w:rFonts w:ascii="Arial" w:cs="Arial" w:eastAsia="Arial" w:hAnsi="Arial"/>
                <w:sz w:val="18"/>
                <w:szCs w:val="18"/>
                <w:color w:val="0000FF"/>
              </w:rPr>
              <w:t>3)</w:t>
            </w:r>
          </w:p>
        </w:tc>
      </w:tr>
      <w:tr>
        <w:trPr>
          <w:trHeight w:val="20"/>
        </w:trPr>
        <w:tc>
          <w:tcPr>
            <w:tcW w:w="10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10.13**</w:t>
            </w:r>
          </w:p>
        </w:tc>
        <w:tc>
          <w:tcPr>
            <w:tcW w:w="10140" w:type="dxa"/>
            <w:vAlign w:val="bottom"/>
            <w:gridSpan w:val="24"/>
          </w:tcPr>
          <w:p>
            <w:pPr>
              <w:spacing w:after="0"/>
              <w:rPr>
                <w:rFonts w:ascii="Arial" w:cs="Arial" w:eastAsia="Arial" w:hAnsi="Arial"/>
                <w:sz w:val="18"/>
                <w:szCs w:val="18"/>
                <w:color w:val="0000FF"/>
                <w:w w:val="92"/>
              </w:rPr>
            </w:pPr>
            <w:hyperlink r:id="rId131">
              <w:r>
                <w:rPr>
                  <w:rFonts w:ascii="Arial" w:cs="Arial" w:eastAsia="Arial" w:hAnsi="Arial"/>
                  <w:sz w:val="18"/>
                  <w:szCs w:val="18"/>
                  <w:color w:val="0000FF"/>
                  <w:w w:val="92"/>
                </w:rPr>
                <w:t>Form of Non-Qualified Stock Option Agreement for Non-Employee Directors under the Progress Software Corporation 2008 Stock Option</w:t>
              </w:r>
            </w:hyperlink>
          </w:p>
        </w:tc>
      </w:tr>
      <w:tr>
        <w:trPr>
          <w:trHeight w:val="155"/>
        </w:trPr>
        <w:tc>
          <w:tcPr>
            <w:tcW w:w="100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and Incentive Plan (Initial Grant) (24)</w:t>
              </w:r>
            </w:hyperlink>
          </w:p>
        </w:tc>
        <w:tc>
          <w:tcPr>
            <w:tcW w:w="7300" w:type="dxa"/>
            <w:vAlign w:val="bottom"/>
            <w:tcBorders>
              <w:top w:val="single" w:sz="8" w:color="0000FF"/>
            </w:tcBorders>
            <w:gridSpan w:val="20"/>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10.14**</w:t>
            </w:r>
          </w:p>
        </w:tc>
        <w:tc>
          <w:tcPr>
            <w:tcW w:w="10140" w:type="dxa"/>
            <w:vAlign w:val="bottom"/>
            <w:gridSpan w:val="24"/>
          </w:tcPr>
          <w:p>
            <w:pPr>
              <w:spacing w:after="0"/>
              <w:rPr>
                <w:rFonts w:ascii="Arial" w:cs="Arial" w:eastAsia="Arial" w:hAnsi="Arial"/>
                <w:sz w:val="18"/>
                <w:szCs w:val="18"/>
                <w:color w:val="0000FF"/>
                <w:w w:val="92"/>
              </w:rPr>
            </w:pPr>
            <w:hyperlink r:id="rId132">
              <w:r>
                <w:rPr>
                  <w:rFonts w:ascii="Arial" w:cs="Arial" w:eastAsia="Arial" w:hAnsi="Arial"/>
                  <w:sz w:val="18"/>
                  <w:szCs w:val="18"/>
                  <w:color w:val="0000FF"/>
                  <w:w w:val="92"/>
                </w:rPr>
                <w:t>Form of Non-Qualified Stock Option Agreement for Non-Employee Directors under the Progress Software Corporation 2008 Stock Option</w:t>
              </w:r>
            </w:hyperlink>
          </w:p>
        </w:tc>
      </w:tr>
      <w:tr>
        <w:trPr>
          <w:trHeight w:val="155"/>
        </w:trPr>
        <w:tc>
          <w:tcPr>
            <w:tcW w:w="100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and Incentive Plan (Annual Grant) (25)</w:t>
              </w:r>
            </w:hyperlink>
          </w:p>
        </w:tc>
        <w:tc>
          <w:tcPr>
            <w:tcW w:w="7200" w:type="dxa"/>
            <w:vAlign w:val="bottom"/>
            <w:tcBorders>
              <w:top w:val="single" w:sz="8" w:color="0000FF"/>
            </w:tcBorders>
            <w:gridSpan w:val="19"/>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10.15**</w:t>
            </w:r>
          </w:p>
        </w:tc>
        <w:tc>
          <w:tcPr>
            <w:tcW w:w="9160" w:type="dxa"/>
            <w:vAlign w:val="bottom"/>
            <w:tcBorders>
              <w:bottom w:val="single" w:sz="8" w:color="0000FF"/>
            </w:tcBorders>
            <w:gridSpan w:val="18"/>
          </w:tcPr>
          <w:p>
            <w:pPr>
              <w:spacing w:after="0"/>
              <w:rPr>
                <w:rFonts w:ascii="Arial" w:cs="Arial" w:eastAsia="Arial" w:hAnsi="Arial"/>
                <w:sz w:val="18"/>
                <w:szCs w:val="18"/>
                <w:color w:val="0000FF"/>
                <w:w w:val="90"/>
              </w:rPr>
            </w:pPr>
            <w:hyperlink r:id="rId133">
              <w:r>
                <w:rPr>
                  <w:rFonts w:ascii="Arial" w:cs="Arial" w:eastAsia="Arial" w:hAnsi="Arial"/>
                  <w:sz w:val="18"/>
                  <w:szCs w:val="18"/>
                  <w:color w:val="0000FF"/>
                  <w:w w:val="90"/>
                </w:rPr>
                <w:t>Form of Restricted Stock Unit Agreement under the Progress Software Corporation 2008 Stock Option and Incentive Plan (2</w:t>
              </w:r>
            </w:hyperlink>
            <w:r>
              <w:rPr>
                <w:rFonts w:ascii="Arial" w:cs="Arial" w:eastAsia="Arial" w:hAnsi="Arial"/>
                <w:sz w:val="18"/>
                <w:szCs w:val="18"/>
                <w:color w:val="0000FF"/>
                <w:w w:val="90"/>
              </w:rPr>
              <w:t>6)</w:t>
            </w:r>
          </w:p>
        </w:tc>
        <w:tc>
          <w:tcPr>
            <w:tcW w:w="980" w:type="dxa"/>
            <w:vAlign w:val="bottom"/>
            <w:gridSpan w:val="6"/>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10.16*</w:t>
            </w:r>
          </w:p>
        </w:tc>
        <w:tc>
          <w:tcPr>
            <w:tcW w:w="10140" w:type="dxa"/>
            <w:vAlign w:val="bottom"/>
            <w:gridSpan w:val="24"/>
          </w:tcPr>
          <w:p>
            <w:pPr>
              <w:spacing w:after="0"/>
              <w:rPr>
                <w:rFonts w:ascii="Arial" w:cs="Arial" w:eastAsia="Arial" w:hAnsi="Arial"/>
                <w:sz w:val="18"/>
                <w:szCs w:val="18"/>
                <w:color w:val="0000FF"/>
                <w:w w:val="92"/>
              </w:rPr>
            </w:pPr>
            <w:hyperlink r:id="rId134">
              <w:r>
                <w:rPr>
                  <w:rFonts w:ascii="Arial" w:cs="Arial" w:eastAsia="Arial" w:hAnsi="Arial"/>
                  <w:sz w:val="18"/>
                  <w:szCs w:val="18"/>
                  <w:color w:val="0000FF"/>
                  <w:w w:val="92"/>
                </w:rPr>
                <w:t>Third Amended and Restated Credit Agreement, dated as of January 25, 2022, by and among Progress Software Corporation, each of the</w:t>
              </w:r>
            </w:hyperlink>
          </w:p>
        </w:tc>
      </w:tr>
      <w:tr>
        <w:trPr>
          <w:trHeight w:val="169"/>
        </w:trPr>
        <w:tc>
          <w:tcPr>
            <w:tcW w:w="1000" w:type="dxa"/>
            <w:vAlign w:val="bottom"/>
          </w:tcPr>
          <w:p>
            <w:pPr>
              <w:spacing w:after="0"/>
              <w:rPr>
                <w:sz w:val="14"/>
                <w:szCs w:val="14"/>
                <w:color w:val="auto"/>
              </w:rPr>
            </w:pPr>
          </w:p>
        </w:tc>
        <w:tc>
          <w:tcPr>
            <w:tcW w:w="9380" w:type="dxa"/>
            <w:vAlign w:val="bottom"/>
            <w:tcBorders>
              <w:top w:val="single" w:sz="8" w:color="0000FF"/>
              <w:bottom w:val="single" w:sz="8" w:color="0000FF"/>
            </w:tcBorders>
            <w:gridSpan w:val="20"/>
          </w:tcPr>
          <w:p>
            <w:pPr>
              <w:spacing w:after="0" w:line="169"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lenders party thereto, JPMorgan Chase Bank, N.A., as Administrative Agent, Wells Fargo Bank, N.A. and Citizens Bank, N.A., as</w:t>
              </w:r>
            </w:hyperlink>
          </w:p>
        </w:tc>
        <w:tc>
          <w:tcPr>
            <w:tcW w:w="48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r>
      <w:tr>
        <w:trPr>
          <w:trHeight w:val="189"/>
        </w:trPr>
        <w:tc>
          <w:tcPr>
            <w:tcW w:w="1000" w:type="dxa"/>
            <w:vAlign w:val="bottom"/>
          </w:tcPr>
          <w:p>
            <w:pPr>
              <w:spacing w:after="0"/>
              <w:rPr>
                <w:sz w:val="16"/>
                <w:szCs w:val="16"/>
                <w:color w:val="auto"/>
              </w:rPr>
            </w:pPr>
          </w:p>
        </w:tc>
        <w:tc>
          <w:tcPr>
            <w:tcW w:w="10140" w:type="dxa"/>
            <w:vAlign w:val="bottom"/>
            <w:tcBorders>
              <w:bottom w:val="single" w:sz="8" w:color="0000FF"/>
            </w:tcBorders>
            <w:gridSpan w:val="24"/>
          </w:tcPr>
          <w:p>
            <w:pPr>
              <w:spacing w:after="0" w:line="169" w:lineRule="exact"/>
              <w:rPr>
                <w:rFonts w:ascii="Arial" w:cs="Arial" w:eastAsia="Arial" w:hAnsi="Arial"/>
                <w:sz w:val="18"/>
                <w:szCs w:val="18"/>
                <w:color w:val="0000FF"/>
                <w:w w:val="93"/>
              </w:rPr>
            </w:pPr>
            <w:hyperlink r:id="rId134">
              <w:r>
                <w:rPr>
                  <w:rFonts w:ascii="Arial" w:cs="Arial" w:eastAsia="Arial" w:hAnsi="Arial"/>
                  <w:sz w:val="18"/>
                  <w:szCs w:val="18"/>
                  <w:color w:val="0000FF"/>
                  <w:w w:val="93"/>
                </w:rPr>
                <w:t>Syndication Agents, and Bank of America, N.A., Citibank, N.A., PNC Bank, National Association, Silicon Valley Bank and TD Bank, N.A.,</w:t>
              </w:r>
            </w:hyperlink>
          </w:p>
        </w:tc>
      </w:tr>
      <w:tr>
        <w:trPr>
          <w:trHeight w:val="149"/>
        </w:trPr>
        <w:tc>
          <w:tcPr>
            <w:tcW w:w="1000" w:type="dxa"/>
            <w:vAlign w:val="bottom"/>
          </w:tcPr>
          <w:p>
            <w:pPr>
              <w:spacing w:after="0"/>
              <w:rPr>
                <w:sz w:val="12"/>
                <w:szCs w:val="12"/>
                <w:color w:val="auto"/>
              </w:rPr>
            </w:pPr>
          </w:p>
        </w:tc>
        <w:tc>
          <w:tcPr>
            <w:tcW w:w="9280" w:type="dxa"/>
            <w:vAlign w:val="bottom"/>
            <w:gridSpan w:val="19"/>
          </w:tcPr>
          <w:p>
            <w:pPr>
              <w:spacing w:after="0" w:line="149" w:lineRule="exact"/>
              <w:rPr>
                <w:rFonts w:ascii="Arial" w:cs="Arial" w:eastAsia="Arial" w:hAnsi="Arial"/>
                <w:sz w:val="17"/>
                <w:szCs w:val="17"/>
                <w:color w:val="0000FF"/>
              </w:rPr>
            </w:pPr>
            <w:hyperlink r:id="rId134">
              <w:r>
                <w:rPr>
                  <w:rFonts w:ascii="Arial" w:cs="Arial" w:eastAsia="Arial" w:hAnsi="Arial"/>
                  <w:sz w:val="17"/>
                  <w:szCs w:val="17"/>
                  <w:color w:val="0000FF"/>
                </w:rPr>
                <w:t>as Documentation Agents, and JPMorgan Chase Bank, N.A., as Sole Bookrunner and Sole Lead Arranger (27)</w:t>
              </w:r>
            </w:hyperlink>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10.17**</w:t>
            </w:r>
          </w:p>
        </w:tc>
        <w:tc>
          <w:tcPr>
            <w:tcW w:w="10140" w:type="dxa"/>
            <w:vAlign w:val="bottom"/>
            <w:gridSpan w:val="24"/>
          </w:tcPr>
          <w:p>
            <w:pPr>
              <w:spacing w:after="0"/>
              <w:rPr>
                <w:rFonts w:ascii="Arial" w:cs="Arial" w:eastAsia="Arial" w:hAnsi="Arial"/>
                <w:sz w:val="18"/>
                <w:szCs w:val="18"/>
                <w:color w:val="0000FF"/>
              </w:rPr>
            </w:pPr>
            <w:hyperlink r:id="rId135">
              <w:r>
                <w:rPr>
                  <w:rFonts w:ascii="Arial" w:cs="Arial" w:eastAsia="Arial" w:hAnsi="Arial"/>
                  <w:sz w:val="18"/>
                  <w:szCs w:val="18"/>
                  <w:color w:val="0000FF"/>
                </w:rPr>
                <w:t>Employment Agreement, dated October 10, 2016, by and between Progress Software Corporation and Yogesh Gupta (2</w:t>
              </w:r>
            </w:hyperlink>
            <w:r>
              <w:rPr>
                <w:rFonts w:ascii="Arial" w:cs="Arial" w:eastAsia="Arial" w:hAnsi="Arial"/>
                <w:sz w:val="18"/>
                <w:szCs w:val="18"/>
                <w:color w:val="0000FF"/>
              </w:rPr>
              <w:t>8)</w:t>
            </w:r>
          </w:p>
        </w:tc>
      </w:tr>
      <w:tr>
        <w:trPr>
          <w:trHeight w:val="20"/>
        </w:trPr>
        <w:tc>
          <w:tcPr>
            <w:tcW w:w="10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10.18**</w:t>
            </w:r>
          </w:p>
        </w:tc>
        <w:tc>
          <w:tcPr>
            <w:tcW w:w="10140" w:type="dxa"/>
            <w:vAlign w:val="bottom"/>
            <w:gridSpan w:val="24"/>
          </w:tcPr>
          <w:p>
            <w:pPr>
              <w:spacing w:after="0"/>
              <w:rPr>
                <w:rFonts w:ascii="Arial" w:cs="Arial" w:eastAsia="Arial" w:hAnsi="Arial"/>
                <w:sz w:val="18"/>
                <w:szCs w:val="18"/>
                <w:color w:val="0000FF"/>
                <w:w w:val="91"/>
              </w:rPr>
            </w:pPr>
            <w:hyperlink r:id="rId136">
              <w:r>
                <w:rPr>
                  <w:rFonts w:ascii="Arial" w:cs="Arial" w:eastAsia="Arial" w:hAnsi="Arial"/>
                  <w:sz w:val="18"/>
                  <w:szCs w:val="18"/>
                  <w:color w:val="0000FF"/>
                  <w:w w:val="91"/>
                </w:rPr>
                <w:t>Employee Retention and Motivation Agreement, dated as of October 10, 2016, by and between Progress Software Corporation and Yogesh</w:t>
              </w:r>
            </w:hyperlink>
          </w:p>
        </w:tc>
      </w:tr>
      <w:tr>
        <w:trPr>
          <w:trHeight w:val="156"/>
        </w:trPr>
        <w:tc>
          <w:tcPr>
            <w:tcW w:w="1000" w:type="dxa"/>
            <w:vAlign w:val="bottom"/>
          </w:tcPr>
          <w:p>
            <w:pPr>
              <w:spacing w:after="0"/>
              <w:rPr>
                <w:sz w:val="13"/>
                <w:szCs w:val="13"/>
                <w:color w:val="auto"/>
              </w:rPr>
            </w:pPr>
          </w:p>
        </w:tc>
        <w:tc>
          <w:tcPr>
            <w:tcW w:w="100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Gupta (29)</w:t>
              </w:r>
            </w:hyperlink>
          </w:p>
        </w:tc>
        <w:tc>
          <w:tcPr>
            <w:tcW w:w="12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10.19**</w:t>
            </w:r>
          </w:p>
        </w:tc>
        <w:tc>
          <w:tcPr>
            <w:tcW w:w="10140" w:type="dxa"/>
            <w:vAlign w:val="bottom"/>
            <w:gridSpan w:val="24"/>
          </w:tcPr>
          <w:p>
            <w:pPr>
              <w:spacing w:after="0"/>
              <w:rPr>
                <w:rFonts w:ascii="Arial" w:cs="Arial" w:eastAsia="Arial" w:hAnsi="Arial"/>
                <w:sz w:val="18"/>
                <w:szCs w:val="18"/>
                <w:color w:val="0000FF"/>
              </w:rPr>
            </w:pPr>
            <w:hyperlink r:id="rId137">
              <w:r>
                <w:rPr>
                  <w:rFonts w:ascii="Arial" w:cs="Arial" w:eastAsia="Arial" w:hAnsi="Arial"/>
                  <w:sz w:val="18"/>
                  <w:szCs w:val="18"/>
                  <w:color w:val="0000FF"/>
                </w:rPr>
                <w:t>Employment Agreement, dated January 16, 2020, by and between Progress Software Corporation and Anthony Folger (</w:t>
              </w:r>
            </w:hyperlink>
            <w:r>
              <w:rPr>
                <w:rFonts w:ascii="Arial" w:cs="Arial" w:eastAsia="Arial" w:hAnsi="Arial"/>
                <w:sz w:val="18"/>
                <w:szCs w:val="18"/>
                <w:color w:val="0000FF"/>
              </w:rPr>
              <w:t>30)</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10.20</w:t>
            </w:r>
          </w:p>
        </w:tc>
        <w:tc>
          <w:tcPr>
            <w:tcW w:w="68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1"/>
              </w:rPr>
            </w:pPr>
            <w:hyperlink r:id="rId138">
              <w:r>
                <w:rPr>
                  <w:rFonts w:ascii="Arial" w:cs="Arial" w:eastAsia="Arial" w:hAnsi="Arial"/>
                  <w:sz w:val="18"/>
                  <w:szCs w:val="18"/>
                  <w:color w:val="0000FF"/>
                  <w:w w:val="91"/>
                </w:rPr>
                <w:t>Form of Employee Retention and Motivation Agreement (effective after September 2014) (</w:t>
              </w:r>
            </w:hyperlink>
            <w:r>
              <w:rPr>
                <w:rFonts w:ascii="Arial" w:cs="Arial" w:eastAsia="Arial" w:hAnsi="Arial"/>
                <w:sz w:val="18"/>
                <w:szCs w:val="18"/>
                <w:color w:val="0000FF"/>
                <w:w w:val="91"/>
              </w:rPr>
              <w:t>31)</w:t>
            </w:r>
          </w:p>
        </w:tc>
        <w:tc>
          <w:tcPr>
            <w:tcW w:w="2020" w:type="dxa"/>
            <w:vAlign w:val="bottom"/>
            <w:tcBorders>
              <w:top w:val="single" w:sz="8" w:color="0000FF"/>
            </w:tcBorders>
            <w:gridSpan w:val="4"/>
          </w:tcPr>
          <w:p>
            <w:pPr>
              <w:spacing w:after="0"/>
              <w:rPr>
                <w:sz w:val="18"/>
                <w:szCs w:val="18"/>
                <w:color w:val="auto"/>
              </w:rPr>
            </w:pPr>
          </w:p>
        </w:tc>
        <w:tc>
          <w:tcPr>
            <w:tcW w:w="1280" w:type="dxa"/>
            <w:vAlign w:val="bottom"/>
            <w:gridSpan w:val="8"/>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10.21</w:t>
            </w:r>
          </w:p>
        </w:tc>
        <w:tc>
          <w:tcPr>
            <w:tcW w:w="10140" w:type="dxa"/>
            <w:vAlign w:val="bottom"/>
            <w:gridSpan w:val="24"/>
          </w:tcPr>
          <w:p>
            <w:pPr>
              <w:spacing w:after="0"/>
              <w:rPr>
                <w:rFonts w:ascii="Arial" w:cs="Arial" w:eastAsia="Arial" w:hAnsi="Arial"/>
                <w:sz w:val="18"/>
                <w:szCs w:val="18"/>
                <w:color w:val="0000FF"/>
              </w:rPr>
            </w:pPr>
            <w:hyperlink r:id="rId139">
              <w:r>
                <w:rPr>
                  <w:rFonts w:ascii="Arial" w:cs="Arial" w:eastAsia="Arial" w:hAnsi="Arial"/>
                  <w:sz w:val="18"/>
                  <w:szCs w:val="18"/>
                  <w:color w:val="0000FF"/>
                </w:rPr>
                <w:t>Form of Termination Letter (Executive Officers) (3</w:t>
              </w:r>
            </w:hyperlink>
            <w:r>
              <w:rPr>
                <w:rFonts w:ascii="Arial" w:cs="Arial" w:eastAsia="Arial" w:hAnsi="Arial"/>
                <w:sz w:val="18"/>
                <w:szCs w:val="18"/>
                <w:color w:val="0000FF"/>
              </w:rPr>
              <w:t>2)</w:t>
            </w:r>
          </w:p>
        </w:tc>
      </w:tr>
      <w:tr>
        <w:trPr>
          <w:trHeight w:val="20"/>
        </w:trPr>
        <w:tc>
          <w:tcPr>
            <w:tcW w:w="10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10.22</w:t>
            </w:r>
          </w:p>
        </w:tc>
        <w:tc>
          <w:tcPr>
            <w:tcW w:w="10140" w:type="dxa"/>
            <w:vAlign w:val="bottom"/>
            <w:gridSpan w:val="24"/>
          </w:tcPr>
          <w:p>
            <w:pPr>
              <w:spacing w:after="0"/>
              <w:rPr>
                <w:rFonts w:ascii="Arial" w:cs="Arial" w:eastAsia="Arial" w:hAnsi="Arial"/>
                <w:sz w:val="18"/>
                <w:szCs w:val="18"/>
                <w:color w:val="0000FF"/>
              </w:rPr>
            </w:pPr>
            <w:hyperlink r:id="rId140">
              <w:r>
                <w:rPr>
                  <w:rFonts w:ascii="Arial" w:cs="Arial" w:eastAsia="Arial" w:hAnsi="Arial"/>
                  <w:sz w:val="18"/>
                  <w:szCs w:val="18"/>
                  <w:color w:val="0000FF"/>
                </w:rPr>
                <w:t xml:space="preserve">Form of Separation Form of Separation Agreement and Release (Executive Officers) </w:t>
              </w:r>
            </w:hyperlink>
            <w:r>
              <w:rPr>
                <w:rFonts w:ascii="Arial" w:cs="Arial" w:eastAsia="Arial" w:hAnsi="Arial"/>
                <w:sz w:val="18"/>
                <w:szCs w:val="18"/>
                <w:color w:val="0000FF"/>
              </w:rPr>
              <w:t>(33)</w:t>
            </w: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10.23</w:t>
            </w:r>
          </w:p>
        </w:tc>
        <w:tc>
          <w:tcPr>
            <w:tcW w:w="6460" w:type="dxa"/>
            <w:vAlign w:val="bottom"/>
            <w:tcBorders>
              <w:top w:val="single" w:sz="8" w:color="0000FF"/>
            </w:tcBorders>
            <w:gridSpan w:val="10"/>
          </w:tcPr>
          <w:p>
            <w:pPr>
              <w:spacing w:after="0"/>
              <w:rPr>
                <w:rFonts w:ascii="Arial" w:cs="Arial" w:eastAsia="Arial" w:hAnsi="Arial"/>
                <w:sz w:val="18"/>
                <w:szCs w:val="18"/>
                <w:color w:val="0000FF"/>
              </w:rPr>
            </w:pPr>
            <w:hyperlink r:id="rId141">
              <w:r>
                <w:rPr>
                  <w:rFonts w:ascii="Arial" w:cs="Arial" w:eastAsia="Arial" w:hAnsi="Arial"/>
                  <w:sz w:val="18"/>
                  <w:szCs w:val="18"/>
                  <w:color w:val="0000FF"/>
                </w:rPr>
                <w:t>Form of Capped Call Confirmation (3</w:t>
              </w:r>
            </w:hyperlink>
            <w:r>
              <w:rPr>
                <w:rFonts w:ascii="Arial" w:cs="Arial" w:eastAsia="Arial" w:hAnsi="Arial"/>
                <w:sz w:val="18"/>
                <w:szCs w:val="18"/>
                <w:color w:val="0000FF"/>
              </w:rPr>
              <w:t>4)</w:t>
            </w:r>
          </w:p>
        </w:tc>
        <w:tc>
          <w:tcPr>
            <w:tcW w:w="3680" w:type="dxa"/>
            <w:vAlign w:val="bottom"/>
            <w:gridSpan w:val="14"/>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21.1</w:t>
            </w:r>
          </w:p>
        </w:tc>
        <w:tc>
          <w:tcPr>
            <w:tcW w:w="2880" w:type="dxa"/>
            <w:vAlign w:val="bottom"/>
            <w:tcBorders>
              <w:top w:val="single" w:sz="8" w:color="0000FF"/>
            </w:tcBorders>
            <w:gridSpan w:val="5"/>
          </w:tcPr>
          <w:p>
            <w:pPr>
              <w:spacing w:after="0"/>
              <w:rPr>
                <w:rFonts w:ascii="Arial" w:cs="Arial" w:eastAsia="Arial" w:hAnsi="Arial"/>
                <w:sz w:val="18"/>
                <w:szCs w:val="18"/>
                <w:color w:val="0000FF"/>
                <w:w w:val="99"/>
              </w:rPr>
            </w:pPr>
            <w:hyperlink w:anchor="page92">
              <w:r>
                <w:rPr>
                  <w:rFonts w:ascii="Arial" w:cs="Arial" w:eastAsia="Arial" w:hAnsi="Arial"/>
                  <w:sz w:val="18"/>
                  <w:szCs w:val="18"/>
                  <w:color w:val="0000FF"/>
                  <w:w w:val="99"/>
                </w:rPr>
                <w:t>List of Subsidiaries of the Registrant</w:t>
              </w:r>
            </w:hyperlink>
          </w:p>
        </w:tc>
        <w:tc>
          <w:tcPr>
            <w:tcW w:w="7260" w:type="dxa"/>
            <w:vAlign w:val="bottom"/>
            <w:gridSpan w:val="19"/>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20" w:type="dxa"/>
            <w:vAlign w:val="bottom"/>
            <w:gridSpan w:val="13"/>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610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94">
              <w:r>
                <w:rPr>
                  <w:rFonts w:ascii="Arial" w:cs="Arial" w:eastAsia="Arial" w:hAnsi="Arial"/>
                  <w:sz w:val="18"/>
                  <w:szCs w:val="18"/>
                  <w:color w:val="0000FF"/>
                  <w:w w:val="91"/>
                </w:rPr>
                <w:t>Consent of Deloitte &amp; Touche LLP, Independent Registered Public Accounting Firm</w:t>
              </w:r>
            </w:hyperlink>
          </w:p>
        </w:tc>
        <w:tc>
          <w:tcPr>
            <w:tcW w:w="4040" w:type="dxa"/>
            <w:vAlign w:val="bottom"/>
            <w:gridSpan w:val="16"/>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640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95">
              <w:r>
                <w:rPr>
                  <w:rFonts w:ascii="Arial" w:cs="Arial" w:eastAsia="Arial" w:hAnsi="Arial"/>
                  <w:sz w:val="18"/>
                  <w:szCs w:val="18"/>
                  <w:color w:val="0000FF"/>
                  <w:w w:val="90"/>
                </w:rPr>
                <w:t>Certification Pursuant to Section 302 of the Sarbanes-Oxley Act of 2002 - Yogesh Gupta</w:t>
              </w:r>
            </w:hyperlink>
          </w:p>
        </w:tc>
        <w:tc>
          <w:tcPr>
            <w:tcW w:w="3740" w:type="dxa"/>
            <w:vAlign w:val="bottom"/>
            <w:gridSpan w:val="15"/>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140" w:type="dxa"/>
            <w:vAlign w:val="bottom"/>
            <w:gridSpan w:val="24"/>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Certification Pursuant to Section 302 of the Sarbanes-Oxley Act of 2002 - Anthony Folger</w:t>
              </w:r>
            </w:hyperlink>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52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w:anchor="page97">
              <w:r>
                <w:rPr>
                  <w:rFonts w:ascii="Arial" w:cs="Arial" w:eastAsia="Arial" w:hAnsi="Arial"/>
                  <w:sz w:val="18"/>
                  <w:szCs w:val="18"/>
                  <w:color w:val="0000FF"/>
                  <w:w w:val="91"/>
                </w:rPr>
                <w:t>Certification Pursuant to Section 906 of the Sarbanes-Oxley Act of 2002</w:t>
              </w:r>
            </w:hyperlink>
          </w:p>
        </w:tc>
        <w:tc>
          <w:tcPr>
            <w:tcW w:w="1280" w:type="dxa"/>
            <w:vAlign w:val="bottom"/>
            <w:tcBorders>
              <w:top w:val="single" w:sz="8" w:color="0000FF"/>
            </w:tcBorders>
            <w:gridSpan w:val="4"/>
          </w:tcPr>
          <w:p>
            <w:pPr>
              <w:spacing w:after="0"/>
              <w:rPr>
                <w:sz w:val="18"/>
                <w:szCs w:val="18"/>
                <w:color w:val="auto"/>
              </w:rPr>
            </w:pPr>
          </w:p>
        </w:tc>
        <w:tc>
          <w:tcPr>
            <w:tcW w:w="3620" w:type="dxa"/>
            <w:vAlign w:val="bottom"/>
            <w:gridSpan w:val="13"/>
          </w:tcPr>
          <w:p>
            <w:pPr>
              <w:spacing w:after="0"/>
              <w:rPr>
                <w:sz w:val="18"/>
                <w:szCs w:val="18"/>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0140" w:type="dxa"/>
            <w:vAlign w:val="bottom"/>
            <w:gridSpan w:val="24"/>
          </w:tcPr>
          <w:p>
            <w:pPr>
              <w:spacing w:after="0" w:line="196" w:lineRule="exact"/>
              <w:rPr>
                <w:sz w:val="20"/>
                <w:szCs w:val="20"/>
                <w:color w:val="auto"/>
              </w:rPr>
            </w:pPr>
            <w:r>
              <w:rPr>
                <w:rFonts w:ascii="Arial" w:cs="Arial" w:eastAsia="Arial" w:hAnsi="Arial"/>
                <w:sz w:val="18"/>
                <w:szCs w:val="18"/>
                <w:color w:val="auto"/>
                <w:w w:val="96"/>
              </w:rPr>
              <w:t>The following materials from Progress Software Corporation’s Annual Report on Form 10-K for the year ended November 30, 2021,</w:t>
            </w:r>
          </w:p>
        </w:tc>
      </w:tr>
      <w:tr>
        <w:trPr>
          <w:trHeight w:val="191"/>
        </w:trPr>
        <w:tc>
          <w:tcPr>
            <w:tcW w:w="1000" w:type="dxa"/>
            <w:vAlign w:val="bottom"/>
          </w:tcPr>
          <w:p>
            <w:pPr>
              <w:spacing w:after="0"/>
              <w:rPr>
                <w:sz w:val="16"/>
                <w:szCs w:val="16"/>
                <w:color w:val="auto"/>
              </w:rPr>
            </w:pPr>
          </w:p>
        </w:tc>
        <w:tc>
          <w:tcPr>
            <w:tcW w:w="10140" w:type="dxa"/>
            <w:vAlign w:val="bottom"/>
            <w:gridSpan w:val="24"/>
          </w:tcPr>
          <w:p>
            <w:pPr>
              <w:spacing w:after="0" w:line="191" w:lineRule="exact"/>
              <w:rPr>
                <w:sz w:val="20"/>
                <w:szCs w:val="20"/>
                <w:color w:val="auto"/>
              </w:rPr>
            </w:pPr>
            <w:r>
              <w:rPr>
                <w:rFonts w:ascii="Arial" w:cs="Arial" w:eastAsia="Arial" w:hAnsi="Arial"/>
                <w:sz w:val="18"/>
                <w:szCs w:val="18"/>
                <w:color w:val="auto"/>
                <w:w w:val="91"/>
              </w:rPr>
              <w:t>formatted in iXBRL (Inline eXtensible Business Reporting Language): (i) Consolidated Balance Sheets as of November 30, 2021 and 2020,</w:t>
            </w:r>
          </w:p>
        </w:tc>
      </w:tr>
    </w:tbl>
    <w:p>
      <w:pPr>
        <w:ind w:left="1012" w:right="160"/>
        <w:spacing w:after="0" w:line="214" w:lineRule="auto"/>
        <w:rPr>
          <w:sz w:val="20"/>
          <w:szCs w:val="20"/>
          <w:color w:val="auto"/>
        </w:rPr>
      </w:pPr>
      <w:r>
        <w:rPr>
          <w:rFonts w:ascii="Arial" w:cs="Arial" w:eastAsia="Arial" w:hAnsi="Arial"/>
          <w:sz w:val="18"/>
          <w:szCs w:val="18"/>
          <w:color w:val="auto"/>
        </w:rPr>
        <w:t>(ii) Consolidated Statements of Income for the years ended November 30, 2021, 2020 and 2019, (iii) Consolidated Statements of Comprehensive Income for the years ended November 30, 2021, 2020 and 2019, (iv) Consolidated Statements of Stockholders’ Equity for the years ended November 30, 2021, 2020 and 2019, and (v) Consolidated Statements of Cash Flows for the years ended November 30, 2021, 2020 and 2019.</w:t>
      </w:r>
    </w:p>
    <w:p>
      <w:pPr>
        <w:spacing w:after="0" w:line="3" w:lineRule="exact"/>
        <w:rPr>
          <w:sz w:val="20"/>
          <w:szCs w:val="20"/>
          <w:color w:val="auto"/>
        </w:rPr>
      </w:pPr>
    </w:p>
    <w:p>
      <w:pPr>
        <w:ind w:left="1012" w:hanging="994"/>
        <w:spacing w:after="0"/>
        <w:tabs>
          <w:tab w:leader="none" w:pos="1012"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27" w:lineRule="exact"/>
        <w:rPr>
          <w:rFonts w:ascii="Arial" w:cs="Arial" w:eastAsia="Arial" w:hAnsi="Arial"/>
          <w:sz w:val="18"/>
          <w:szCs w:val="18"/>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2.1 to our Current Report on Form 8-K filed on April 1, 2019.</w:t>
      </w:r>
    </w:p>
    <w:p>
      <w:pPr>
        <w:spacing w:after="0" w:line="13"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2.1 to our Current Report on Form 8-K filed on September 9, 2020.</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2.1 to our Current Report on Form 8-K filed of September 27, 2021.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2.1 to our Current Report on Form 8-K filed on May 14, 2015.</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3.1 to our Current Report on Form 8-K filed on May 14, 2015.</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3.2 to our Current Report on Form 8-K filed on May 14, 2015.</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3.2.1 to our Annual Report on Form 10-K for the year ended November 30, 2015.</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3.1 to our Quarterly Report on Form 10-Q for the quarter ended May 31, 2019.</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4.1 to our Annual Report on Form 10-K for the year ended November 30, 2011.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4.2 to our Annual Report on Form 10-K for the year ended November 30, 2019.</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4.1 to our Current Report on Form 8-K filed on April 13, 2021.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10.1 to our Annual Report on Form 10-K for the year ended November 30, 2009.</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10.2 to our Annual Report on Form 10-K for the year ended November 30, 2009.</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10.3 to our Annual Report on Form 10-K for the year ended November 30, 2012.</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10.4 to our Annual Report on Form 10-K for the year ended November 30, 2013.</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10.5 to our Annual Report on Form 10-K for the year ended November 30, 2015.</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10.6 to our Annual Report on Form 10-K for the year ended November 30, 2015.</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Appendix A to our definitive Proxy Statement filed April 14, 2021.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Appendix B to our definitive Proxy Statement filed April 14, 2021.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10.9 to our Annual Report on Form 10-K for the year ended November 30, 2013.</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10.10 to our Annual Report on Form 10-K for the year ended November 30, 2012.</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10.1 to our Quarterly Report on Form 10-Q for the quarter ended February 28, 2021 filed on April 7, 2021.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10.12 to our Annual Report on Form 10-K for the year ended November 30, 2013.</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10.13 to our Annual Report on Form 10-K for the year ended November 30, 2013.</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 to Exhibit 10.14 to our Annual Report on Form 10-K for the year ended November 30, 2013.</w:t>
      </w:r>
    </w:p>
    <w:p>
      <w:pPr>
        <w:spacing w:after="0" w:line="200" w:lineRule="exact"/>
        <w:rPr>
          <w:sz w:val="20"/>
          <w:szCs w:val="20"/>
          <w:color w:val="auto"/>
        </w:rPr>
      </w:pP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891" w:right="419" w:bottom="1440" w:gutter="0" w:footer="0" w:header="0"/>
        </w:sectPr>
      </w:pPr>
    </w:p>
    <w:bookmarkStart w:id="89" w:name="page90"/>
    <w:bookmarkEnd w:id="89"/>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Incorporated by reference to Exhibit 10.15 to our Annual Report on Form 10-K for the year ended November 30, 2014.</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Incorporated by reference to Exhibit 10.1 to our Current Report on Form 8-K filed on January 27, 2022.</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Incorporated by reference to Exhibit 10.1 to our Current Report on Form 8-K filed on October 14, 2016.</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Incorporated by reference to Exhibit 10.2 to our Current Report on Form 8-K filed on October 14, 2016.</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Incorporated by reference to Exhibit 10.1 to our Current Report on Form 8-K filed on January 17,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Incorporated by reference to Exhibit 10.20 to our Annual Report on Form 10-K for the year ended November 30, 2019.</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Incorporated by reference to Exhibit 10.21 to our Annual Report on Form 10-K for the year ended November 30, 2019.</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Incorporated by reference to Exhibit 10.22 to our Annual Report on Form 10-K for the year ended November 30, 2019.</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Incorporated by reference to Exhibit 10.1 to our Current Report on Form 8-K filed on April 13, 2021.</w:t>
      </w:r>
    </w:p>
    <w:p>
      <w:pPr>
        <w:spacing w:after="0" w:line="124" w:lineRule="exact"/>
        <w:rPr>
          <w:sz w:val="20"/>
          <w:szCs w:val="20"/>
          <w:color w:val="auto"/>
        </w:rPr>
      </w:pPr>
    </w:p>
    <w:p>
      <w:pPr>
        <w:ind w:left="560" w:hanging="534"/>
        <w:spacing w:after="0" w:line="236" w:lineRule="auto"/>
        <w:tabs>
          <w:tab w:leader="none" w:pos="5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Certain schedules and exhibits have been omitted from this Exhibit pursuant to Item 601(a)(5) of Regulation S-K. Progress Software Corporation will furnish a copy of any omitted schedule or exhibit to the U.S. Securities and Exchange Commission or its staff upon request.</w:t>
      </w:r>
    </w:p>
    <w:p>
      <w:pPr>
        <w:spacing w:after="0" w:line="7" w:lineRule="exact"/>
        <w:rPr>
          <w:sz w:val="20"/>
          <w:szCs w:val="20"/>
          <w:color w:val="auto"/>
        </w:rPr>
      </w:pPr>
    </w:p>
    <w:p>
      <w:pPr>
        <w:ind w:left="560" w:hanging="534"/>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in which an executive officer or director of Progress Software Corporation participates.</w:t>
      </w:r>
    </w:p>
    <w:p>
      <w:pPr>
        <w:spacing w:after="0" w:line="28" w:lineRule="exact"/>
        <w:rPr>
          <w:rFonts w:ascii="Arial" w:cs="Arial" w:eastAsia="Arial" w:hAnsi="Arial"/>
          <w:sz w:val="14"/>
          <w:szCs w:val="14"/>
          <w:color w:val="auto"/>
        </w:rPr>
      </w:pPr>
    </w:p>
    <w:p>
      <w:pPr>
        <w:jc w:val="both"/>
        <w:ind w:left="560" w:right="20" w:hanging="534"/>
        <w:spacing w:after="0" w:line="224" w:lineRule="auto"/>
        <w:tabs>
          <w:tab w:leader="none" w:pos="5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Pursuant to Rule 406T of Regulations S-T, the Interactive Data Files on Exhibit 101 hereto are deemed not filed or part of a registration statement or prospectus of Sections 11 or 12 of the Securities Act of 1933, as amended, are deemed not filed for purposes of Section 18 of the Securities and Exchange Act of 1934, as amended, and otherwise are not subject to liability under those sections.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Financial Statement Schedules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All schedules are omitted because they are not applicable or the required information is shown on the financial statements or notes hereto.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769" w:right="1119" w:bottom="1440" w:gutter="0" w:footer="0" w:header="0"/>
        </w:sectPr>
      </w:pPr>
    </w:p>
    <w:bookmarkStart w:id="90" w:name="page91"/>
    <w:bookmarkEnd w:id="90"/>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27th day of January 2022.</w:t>
      </w:r>
    </w:p>
    <w:p>
      <w:pPr>
        <w:spacing w:after="0" w:line="278"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PROGRESS SOFTWARE CORPORATION</w:t>
      </w:r>
    </w:p>
    <w:p>
      <w:pPr>
        <w:spacing w:after="0" w:line="279" w:lineRule="exact"/>
        <w:rPr>
          <w:sz w:val="20"/>
          <w:szCs w:val="20"/>
          <w:color w:val="auto"/>
        </w:rPr>
      </w:pPr>
    </w:p>
    <w:p>
      <w:pPr>
        <w:ind w:left="7120"/>
        <w:spacing w:after="0"/>
        <w:tabs>
          <w:tab w:leader="none" w:pos="7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YOGESH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14605</wp:posOffset>
            </wp:positionV>
            <wp:extent cx="22631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Yogesh K. Gupta</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Signature</w:t>
            </w:r>
          </w:p>
        </w:tc>
        <w:tc>
          <w:tcPr>
            <w:tcW w:w="320" w:type="dxa"/>
            <w:vAlign w:val="bottom"/>
          </w:tcPr>
          <w:p>
            <w:pPr>
              <w:spacing w:after="0"/>
              <w:rPr>
                <w:sz w:val="20"/>
                <w:szCs w:val="20"/>
                <w:color w:val="auto"/>
              </w:rPr>
            </w:pPr>
          </w:p>
        </w:tc>
        <w:tc>
          <w:tcPr>
            <w:tcW w:w="4920" w:type="dxa"/>
            <w:vAlign w:val="bottom"/>
            <w:tcBorders>
              <w:bottom w:val="single" w:sz="8" w:color="auto"/>
            </w:tcBorders>
          </w:tcPr>
          <w:p>
            <w:pPr>
              <w:ind w:left="2300"/>
              <w:spacing w:after="0"/>
              <w:rPr>
                <w:sz w:val="20"/>
                <w:szCs w:val="20"/>
                <w:color w:val="auto"/>
              </w:rPr>
            </w:pPr>
            <w:r>
              <w:rPr>
                <w:rFonts w:ascii="Arial" w:cs="Arial" w:eastAsia="Arial" w:hAnsi="Arial"/>
                <w:sz w:val="18"/>
                <w:szCs w:val="18"/>
                <w:color w:val="auto"/>
              </w:rPr>
              <w:t>Title</w:t>
            </w:r>
          </w:p>
        </w:tc>
        <w:tc>
          <w:tcPr>
            <w:tcW w:w="320" w:type="dxa"/>
            <w:vAlign w:val="bottom"/>
          </w:tcPr>
          <w:p>
            <w:pPr>
              <w:spacing w:after="0"/>
              <w:rPr>
                <w:sz w:val="20"/>
                <w:szCs w:val="20"/>
                <w:color w:val="auto"/>
              </w:rPr>
            </w:pPr>
          </w:p>
        </w:tc>
        <w:tc>
          <w:tcPr>
            <w:tcW w:w="16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Date</w:t>
            </w:r>
          </w:p>
        </w:tc>
      </w:tr>
      <w:tr>
        <w:trPr>
          <w:trHeight w:val="49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YOGESH K. GUPTA</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1640" w:type="dxa"/>
            <w:vAlign w:val="bottom"/>
          </w:tcPr>
          <w:p>
            <w:pPr>
              <w:ind w:left="20"/>
              <w:spacing w:after="0"/>
              <w:rPr>
                <w:sz w:val="20"/>
                <w:szCs w:val="20"/>
                <w:color w:val="auto"/>
              </w:rPr>
            </w:pPr>
            <w:r>
              <w:rPr>
                <w:rFonts w:ascii="Arial" w:cs="Arial" w:eastAsia="Arial" w:hAnsi="Arial"/>
                <w:sz w:val="18"/>
                <w:szCs w:val="18"/>
                <w:color w:val="auto"/>
              </w:rPr>
              <w:t>January 27, 2022</w:t>
            </w: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Yogesh K. Gupta</w:t>
            </w:r>
          </w:p>
        </w:tc>
        <w:tc>
          <w:tcPr>
            <w:tcW w:w="320" w:type="dxa"/>
            <w:vAlign w:val="bottom"/>
          </w:tcPr>
          <w:p>
            <w:pPr>
              <w:spacing w:after="0"/>
              <w:rPr>
                <w:sz w:val="20"/>
                <w:szCs w:val="20"/>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640" w:type="dxa"/>
            <w:vAlign w:val="bottom"/>
          </w:tcPr>
          <w:p>
            <w:pPr>
              <w:spacing w:after="0"/>
              <w:rPr>
                <w:sz w:val="20"/>
                <w:szCs w:val="20"/>
                <w:color w:val="auto"/>
              </w:rPr>
            </w:pPr>
          </w:p>
        </w:tc>
      </w:tr>
      <w:tr>
        <w:trPr>
          <w:trHeight w:val="486"/>
        </w:trPr>
        <w:tc>
          <w:tcPr>
            <w:tcW w:w="3460" w:type="dxa"/>
            <w:vAlign w:val="bottom"/>
          </w:tcPr>
          <w:p>
            <w:pPr>
              <w:ind w:left="20"/>
              <w:spacing w:after="0"/>
              <w:rPr>
                <w:sz w:val="20"/>
                <w:szCs w:val="20"/>
                <w:color w:val="auto"/>
              </w:rPr>
            </w:pPr>
            <w:r>
              <w:rPr>
                <w:rFonts w:ascii="Arial" w:cs="Arial" w:eastAsia="Arial" w:hAnsi="Arial"/>
                <w:sz w:val="18"/>
                <w:szCs w:val="18"/>
                <w:color w:val="auto"/>
              </w:rPr>
              <w:t>/s/ ANTHONY FOLGER</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640" w:type="dxa"/>
            <w:vAlign w:val="bottom"/>
          </w:tcPr>
          <w:p>
            <w:pPr>
              <w:ind w:left="20"/>
              <w:spacing w:after="0"/>
              <w:rPr>
                <w:sz w:val="20"/>
                <w:szCs w:val="20"/>
                <w:color w:val="auto"/>
              </w:rPr>
            </w:pPr>
            <w:r>
              <w:rPr>
                <w:rFonts w:ascii="Arial" w:cs="Arial" w:eastAsia="Arial" w:hAnsi="Arial"/>
                <w:sz w:val="18"/>
                <w:szCs w:val="18"/>
                <w:color w:val="auto"/>
              </w:rPr>
              <w:t>January 27, 2022</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460" w:type="dxa"/>
            <w:vAlign w:val="bottom"/>
          </w:tcPr>
          <w:p>
            <w:pPr>
              <w:ind w:left="20"/>
              <w:spacing w:after="0"/>
              <w:rPr>
                <w:sz w:val="20"/>
                <w:szCs w:val="20"/>
                <w:color w:val="auto"/>
              </w:rPr>
            </w:pPr>
            <w:r>
              <w:rPr>
                <w:rFonts w:ascii="Arial" w:cs="Arial" w:eastAsia="Arial" w:hAnsi="Arial"/>
                <w:sz w:val="18"/>
                <w:szCs w:val="18"/>
                <w:color w:val="auto"/>
              </w:rPr>
              <w:t>Anthony Folger</w:t>
            </w:r>
          </w:p>
        </w:tc>
        <w:tc>
          <w:tcPr>
            <w:tcW w:w="320" w:type="dxa"/>
            <w:vAlign w:val="bottom"/>
          </w:tcPr>
          <w:p>
            <w:pPr>
              <w:spacing w:after="0"/>
              <w:rPr>
                <w:sz w:val="21"/>
                <w:szCs w:val="21"/>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1640" w:type="dxa"/>
            <w:vAlign w:val="bottom"/>
          </w:tcPr>
          <w:p>
            <w:pPr>
              <w:spacing w:after="0"/>
              <w:rPr>
                <w:sz w:val="21"/>
                <w:szCs w:val="21"/>
                <w:color w:val="auto"/>
              </w:rPr>
            </w:pPr>
          </w:p>
        </w:tc>
      </w:tr>
      <w:tr>
        <w:trPr>
          <w:trHeight w:val="486"/>
        </w:trPr>
        <w:tc>
          <w:tcPr>
            <w:tcW w:w="3460" w:type="dxa"/>
            <w:vAlign w:val="bottom"/>
          </w:tcPr>
          <w:p>
            <w:pPr>
              <w:ind w:left="20"/>
              <w:spacing w:after="0"/>
              <w:rPr>
                <w:sz w:val="20"/>
                <w:szCs w:val="20"/>
                <w:color w:val="auto"/>
              </w:rPr>
            </w:pPr>
            <w:r>
              <w:rPr>
                <w:rFonts w:ascii="Arial" w:cs="Arial" w:eastAsia="Arial" w:hAnsi="Arial"/>
                <w:sz w:val="18"/>
                <w:szCs w:val="18"/>
                <w:color w:val="auto"/>
              </w:rPr>
              <w:t>/s/ DOMENIC LOCOCO</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1640" w:type="dxa"/>
            <w:vAlign w:val="bottom"/>
          </w:tcPr>
          <w:p>
            <w:pPr>
              <w:ind w:left="20"/>
              <w:spacing w:after="0"/>
              <w:rPr>
                <w:sz w:val="20"/>
                <w:szCs w:val="20"/>
                <w:color w:val="auto"/>
              </w:rPr>
            </w:pPr>
            <w:r>
              <w:rPr>
                <w:rFonts w:ascii="Arial" w:cs="Arial" w:eastAsia="Arial" w:hAnsi="Arial"/>
                <w:sz w:val="18"/>
                <w:szCs w:val="18"/>
                <w:color w:val="auto"/>
              </w:rPr>
              <w:t>January 27, 2022</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Domenic LoCoco</w:t>
            </w:r>
          </w:p>
        </w:tc>
        <w:tc>
          <w:tcPr>
            <w:tcW w:w="320" w:type="dxa"/>
            <w:vAlign w:val="bottom"/>
          </w:tcPr>
          <w:p>
            <w:pPr>
              <w:spacing w:after="0"/>
              <w:rPr>
                <w:sz w:val="20"/>
                <w:szCs w:val="20"/>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1640" w:type="dxa"/>
            <w:vAlign w:val="bottom"/>
          </w:tcPr>
          <w:p>
            <w:pPr>
              <w:spacing w:after="0"/>
              <w:rPr>
                <w:sz w:val="20"/>
                <w:szCs w:val="20"/>
                <w:color w:val="auto"/>
              </w:rPr>
            </w:pPr>
          </w:p>
        </w:tc>
      </w:tr>
      <w:tr>
        <w:trPr>
          <w:trHeight w:val="486"/>
        </w:trPr>
        <w:tc>
          <w:tcPr>
            <w:tcW w:w="3460" w:type="dxa"/>
            <w:vAlign w:val="bottom"/>
          </w:tcPr>
          <w:p>
            <w:pPr>
              <w:ind w:left="20"/>
              <w:spacing w:after="0"/>
              <w:rPr>
                <w:sz w:val="20"/>
                <w:szCs w:val="20"/>
                <w:color w:val="auto"/>
              </w:rPr>
            </w:pPr>
            <w:r>
              <w:rPr>
                <w:rFonts w:ascii="Arial" w:cs="Arial" w:eastAsia="Arial" w:hAnsi="Arial"/>
                <w:sz w:val="18"/>
                <w:szCs w:val="18"/>
                <w:color w:val="auto"/>
              </w:rPr>
              <w:t>/s/ JOHN R. EGAN</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Non-Executive Chairman</w:t>
            </w:r>
          </w:p>
        </w:tc>
        <w:tc>
          <w:tcPr>
            <w:tcW w:w="1640" w:type="dxa"/>
            <w:vAlign w:val="bottom"/>
          </w:tcPr>
          <w:p>
            <w:pPr>
              <w:ind w:left="20"/>
              <w:spacing w:after="0"/>
              <w:rPr>
                <w:sz w:val="20"/>
                <w:szCs w:val="20"/>
                <w:color w:val="auto"/>
              </w:rPr>
            </w:pPr>
            <w:r>
              <w:rPr>
                <w:rFonts w:ascii="Arial" w:cs="Arial" w:eastAsia="Arial" w:hAnsi="Arial"/>
                <w:sz w:val="18"/>
                <w:szCs w:val="18"/>
                <w:color w:val="auto"/>
              </w:rPr>
              <w:t>January 27, 2022</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John R. Egan</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99"/>
        </w:trPr>
        <w:tc>
          <w:tcPr>
            <w:tcW w:w="3460" w:type="dxa"/>
            <w:vAlign w:val="bottom"/>
          </w:tcPr>
          <w:p>
            <w:pPr>
              <w:ind w:left="20"/>
              <w:spacing w:after="0"/>
              <w:rPr>
                <w:sz w:val="20"/>
                <w:szCs w:val="20"/>
                <w:color w:val="auto"/>
              </w:rPr>
            </w:pPr>
            <w:r>
              <w:rPr>
                <w:rFonts w:ascii="Arial" w:cs="Arial" w:eastAsia="Arial" w:hAnsi="Arial"/>
                <w:sz w:val="18"/>
                <w:szCs w:val="18"/>
                <w:color w:val="auto"/>
              </w:rPr>
              <w:t>/s/ PAUL T. DACIER</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40" w:type="dxa"/>
            <w:vAlign w:val="bottom"/>
          </w:tcPr>
          <w:p>
            <w:pPr>
              <w:ind w:left="20"/>
              <w:spacing w:after="0"/>
              <w:rPr>
                <w:sz w:val="20"/>
                <w:szCs w:val="20"/>
                <w:color w:val="auto"/>
              </w:rPr>
            </w:pPr>
            <w:r>
              <w:rPr>
                <w:rFonts w:ascii="Arial" w:cs="Arial" w:eastAsia="Arial" w:hAnsi="Arial"/>
                <w:sz w:val="18"/>
                <w:szCs w:val="18"/>
                <w:color w:val="auto"/>
              </w:rPr>
              <w:t>January 27, 2022</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Paul T. Dacier</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99"/>
        </w:trPr>
        <w:tc>
          <w:tcPr>
            <w:tcW w:w="3460" w:type="dxa"/>
            <w:vAlign w:val="bottom"/>
          </w:tcPr>
          <w:p>
            <w:pPr>
              <w:ind w:left="20"/>
              <w:spacing w:after="0"/>
              <w:rPr>
                <w:sz w:val="20"/>
                <w:szCs w:val="20"/>
                <w:color w:val="auto"/>
              </w:rPr>
            </w:pPr>
            <w:r>
              <w:rPr>
                <w:rFonts w:ascii="Arial" w:cs="Arial" w:eastAsia="Arial" w:hAnsi="Arial"/>
                <w:sz w:val="18"/>
                <w:szCs w:val="18"/>
                <w:color w:val="auto"/>
              </w:rPr>
              <w:t>/s/ RAINER GAWLICK</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40" w:type="dxa"/>
            <w:vAlign w:val="bottom"/>
          </w:tcPr>
          <w:p>
            <w:pPr>
              <w:ind w:left="20"/>
              <w:spacing w:after="0"/>
              <w:rPr>
                <w:sz w:val="20"/>
                <w:szCs w:val="20"/>
                <w:color w:val="auto"/>
              </w:rPr>
            </w:pPr>
            <w:r>
              <w:rPr>
                <w:rFonts w:ascii="Arial" w:cs="Arial" w:eastAsia="Arial" w:hAnsi="Arial"/>
                <w:sz w:val="18"/>
                <w:szCs w:val="18"/>
                <w:color w:val="auto"/>
              </w:rPr>
              <w:t>January 27, 2022</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Rainer Gawlick</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99"/>
        </w:trPr>
        <w:tc>
          <w:tcPr>
            <w:tcW w:w="3460" w:type="dxa"/>
            <w:vAlign w:val="bottom"/>
          </w:tcPr>
          <w:p>
            <w:pPr>
              <w:ind w:left="20"/>
              <w:spacing w:after="0"/>
              <w:rPr>
                <w:sz w:val="20"/>
                <w:szCs w:val="20"/>
                <w:color w:val="auto"/>
              </w:rPr>
            </w:pPr>
            <w:r>
              <w:rPr>
                <w:rFonts w:ascii="Arial" w:cs="Arial" w:eastAsia="Arial" w:hAnsi="Arial"/>
                <w:sz w:val="18"/>
                <w:szCs w:val="18"/>
                <w:color w:val="auto"/>
              </w:rPr>
              <w:t>/s/ CHARLES F. KANE</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40" w:type="dxa"/>
            <w:vAlign w:val="bottom"/>
          </w:tcPr>
          <w:p>
            <w:pPr>
              <w:ind w:left="20"/>
              <w:spacing w:after="0"/>
              <w:rPr>
                <w:sz w:val="20"/>
                <w:szCs w:val="20"/>
                <w:color w:val="auto"/>
              </w:rPr>
            </w:pPr>
            <w:r>
              <w:rPr>
                <w:rFonts w:ascii="Arial" w:cs="Arial" w:eastAsia="Arial" w:hAnsi="Arial"/>
                <w:sz w:val="18"/>
                <w:szCs w:val="18"/>
                <w:color w:val="auto"/>
              </w:rPr>
              <w:t>January 27, 2022</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Charles F. Kane</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99"/>
        </w:trPr>
        <w:tc>
          <w:tcPr>
            <w:tcW w:w="3460" w:type="dxa"/>
            <w:vAlign w:val="bottom"/>
          </w:tcPr>
          <w:p>
            <w:pPr>
              <w:ind w:left="20"/>
              <w:spacing w:after="0"/>
              <w:rPr>
                <w:sz w:val="20"/>
                <w:szCs w:val="20"/>
                <w:color w:val="auto"/>
              </w:rPr>
            </w:pPr>
            <w:r>
              <w:rPr>
                <w:rFonts w:ascii="Arial" w:cs="Arial" w:eastAsia="Arial" w:hAnsi="Arial"/>
                <w:sz w:val="18"/>
                <w:szCs w:val="18"/>
                <w:color w:val="auto"/>
              </w:rPr>
              <w:t>/s/ SAMSKRITI KING</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40" w:type="dxa"/>
            <w:vAlign w:val="bottom"/>
          </w:tcPr>
          <w:p>
            <w:pPr>
              <w:ind w:left="20"/>
              <w:spacing w:after="0"/>
              <w:rPr>
                <w:sz w:val="20"/>
                <w:szCs w:val="20"/>
                <w:color w:val="auto"/>
              </w:rPr>
            </w:pPr>
            <w:r>
              <w:rPr>
                <w:rFonts w:ascii="Arial" w:cs="Arial" w:eastAsia="Arial" w:hAnsi="Arial"/>
                <w:sz w:val="18"/>
                <w:szCs w:val="18"/>
                <w:color w:val="auto"/>
              </w:rPr>
              <w:t>January 27, 2022</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Samskriti King</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99"/>
        </w:trPr>
        <w:tc>
          <w:tcPr>
            <w:tcW w:w="3460" w:type="dxa"/>
            <w:vAlign w:val="bottom"/>
          </w:tcPr>
          <w:p>
            <w:pPr>
              <w:ind w:left="20"/>
              <w:spacing w:after="0"/>
              <w:rPr>
                <w:sz w:val="20"/>
                <w:szCs w:val="20"/>
                <w:color w:val="auto"/>
              </w:rPr>
            </w:pPr>
            <w:r>
              <w:rPr>
                <w:rFonts w:ascii="Arial" w:cs="Arial" w:eastAsia="Arial" w:hAnsi="Arial"/>
                <w:sz w:val="18"/>
                <w:szCs w:val="18"/>
                <w:color w:val="auto"/>
              </w:rPr>
              <w:t>/s/ DAVID A. KRALL</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40" w:type="dxa"/>
            <w:vAlign w:val="bottom"/>
          </w:tcPr>
          <w:p>
            <w:pPr>
              <w:ind w:left="20"/>
              <w:spacing w:after="0"/>
              <w:rPr>
                <w:sz w:val="20"/>
                <w:szCs w:val="20"/>
                <w:color w:val="auto"/>
              </w:rPr>
            </w:pPr>
            <w:r>
              <w:rPr>
                <w:rFonts w:ascii="Arial" w:cs="Arial" w:eastAsia="Arial" w:hAnsi="Arial"/>
                <w:sz w:val="18"/>
                <w:szCs w:val="18"/>
                <w:color w:val="auto"/>
              </w:rPr>
              <w:t>January 27, 2022</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David A. Krall</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99"/>
        </w:trPr>
        <w:tc>
          <w:tcPr>
            <w:tcW w:w="3460" w:type="dxa"/>
            <w:vAlign w:val="bottom"/>
          </w:tcPr>
          <w:p>
            <w:pPr>
              <w:ind w:left="20"/>
              <w:spacing w:after="0"/>
              <w:rPr>
                <w:sz w:val="20"/>
                <w:szCs w:val="20"/>
                <w:color w:val="auto"/>
              </w:rPr>
            </w:pPr>
            <w:r>
              <w:rPr>
                <w:rFonts w:ascii="Arial" w:cs="Arial" w:eastAsia="Arial" w:hAnsi="Arial"/>
                <w:sz w:val="18"/>
                <w:szCs w:val="18"/>
                <w:color w:val="auto"/>
              </w:rPr>
              <w:t>/s/ ANGELA TUCCI</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40" w:type="dxa"/>
            <w:vAlign w:val="bottom"/>
          </w:tcPr>
          <w:p>
            <w:pPr>
              <w:ind w:left="20"/>
              <w:spacing w:after="0"/>
              <w:rPr>
                <w:sz w:val="20"/>
                <w:szCs w:val="20"/>
                <w:color w:val="auto"/>
              </w:rPr>
            </w:pPr>
            <w:r>
              <w:rPr>
                <w:rFonts w:ascii="Arial" w:cs="Arial" w:eastAsia="Arial" w:hAnsi="Arial"/>
                <w:sz w:val="18"/>
                <w:szCs w:val="18"/>
                <w:color w:val="auto"/>
              </w:rPr>
              <w:t>January 27, 2022</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Angela Tucci</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99"/>
        </w:trPr>
        <w:tc>
          <w:tcPr>
            <w:tcW w:w="3460" w:type="dxa"/>
            <w:vAlign w:val="bottom"/>
          </w:tcPr>
          <w:p>
            <w:pPr>
              <w:ind w:left="20"/>
              <w:spacing w:after="0"/>
              <w:rPr>
                <w:sz w:val="20"/>
                <w:szCs w:val="20"/>
                <w:color w:val="auto"/>
              </w:rPr>
            </w:pPr>
            <w:r>
              <w:rPr>
                <w:rFonts w:ascii="Arial" w:cs="Arial" w:eastAsia="Arial" w:hAnsi="Arial"/>
                <w:sz w:val="18"/>
                <w:szCs w:val="18"/>
                <w:color w:val="auto"/>
              </w:rPr>
              <w:t>/s/ VIVIAN VITALE</w:t>
            </w:r>
          </w:p>
        </w:tc>
        <w:tc>
          <w:tcPr>
            <w:tcW w:w="3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40" w:type="dxa"/>
            <w:vAlign w:val="bottom"/>
          </w:tcPr>
          <w:p>
            <w:pPr>
              <w:ind w:left="20"/>
              <w:spacing w:after="0"/>
              <w:rPr>
                <w:sz w:val="20"/>
                <w:szCs w:val="20"/>
                <w:color w:val="auto"/>
              </w:rPr>
            </w:pPr>
            <w:r>
              <w:rPr>
                <w:rFonts w:ascii="Arial" w:cs="Arial" w:eastAsia="Arial" w:hAnsi="Arial"/>
                <w:sz w:val="18"/>
                <w:szCs w:val="18"/>
                <w:color w:val="auto"/>
              </w:rPr>
              <w:t>January 27, 2022</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Vivian Vitale</w:t>
            </w:r>
          </w:p>
        </w:tc>
        <w:tc>
          <w:tcPr>
            <w:tcW w:w="3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180"/>
          </w:cols>
          <w:pgMar w:left="320" w:top="769" w:right="39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180"/>
          </w:cols>
          <w:pgMar w:left="320" w:top="769" w:right="39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Progress Software Corporation</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420" w:type="dxa"/>
            <w:vAlign w:val="bottom"/>
            <w:gridSpan w:val="2"/>
          </w:tcPr>
          <w:p>
            <w:pPr>
              <w:ind w:left="720"/>
              <w:spacing w:after="0"/>
              <w:rPr>
                <w:sz w:val="20"/>
                <w:szCs w:val="20"/>
                <w:color w:val="auto"/>
              </w:rPr>
            </w:pPr>
            <w:r>
              <w:rPr>
                <w:rFonts w:ascii="Arial" w:cs="Arial" w:eastAsia="Arial" w:hAnsi="Arial"/>
                <w:sz w:val="18"/>
                <w:szCs w:val="18"/>
                <w:color w:val="auto"/>
              </w:rPr>
              <w:t>Jurisdiction</w:t>
            </w:r>
          </w:p>
        </w:tc>
        <w:tc>
          <w:tcPr>
            <w:tcW w:w="8760" w:type="dxa"/>
            <w:vAlign w:val="bottom"/>
          </w:tcPr>
          <w:p>
            <w:pPr>
              <w:ind w:left="4160"/>
              <w:spacing w:after="0"/>
              <w:rPr>
                <w:sz w:val="20"/>
                <w:szCs w:val="20"/>
                <w:color w:val="auto"/>
              </w:rPr>
            </w:pPr>
            <w:r>
              <w:rPr>
                <w:rFonts w:ascii="Arial" w:cs="Arial" w:eastAsia="Arial" w:hAnsi="Arial"/>
                <w:sz w:val="18"/>
                <w:szCs w:val="18"/>
                <w:color w:val="auto"/>
              </w:rPr>
              <w:t>Name</w:t>
            </w:r>
          </w:p>
        </w:tc>
      </w:tr>
      <w:tr>
        <w:trPr>
          <w:trHeight w:val="223"/>
        </w:trPr>
        <w:tc>
          <w:tcPr>
            <w:tcW w:w="2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19"/>
                <w:szCs w:val="19"/>
                <w:color w:val="auto"/>
              </w:rPr>
            </w:pPr>
          </w:p>
        </w:tc>
        <w:tc>
          <w:tcPr>
            <w:tcW w:w="8760" w:type="dxa"/>
            <w:vAlign w:val="bottom"/>
            <w:tcBorders>
              <w:top w:val="single" w:sz="8" w:color="auto"/>
            </w:tcBorders>
          </w:tcPr>
          <w:p>
            <w:pPr>
              <w:spacing w:after="0"/>
              <w:rPr>
                <w:sz w:val="19"/>
                <w:szCs w:val="19"/>
                <w:color w:val="auto"/>
              </w:rPr>
            </w:pPr>
          </w:p>
        </w:tc>
      </w:tr>
      <w:tr>
        <w:trPr>
          <w:trHeight w:val="229"/>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California</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Savvion, Inc.</w:t>
            </w:r>
          </w:p>
        </w:tc>
      </w:tr>
      <w:tr>
        <w:trPr>
          <w:trHeight w:val="229"/>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Canada</w:t>
            </w:r>
          </w:p>
        </w:tc>
        <w:tc>
          <w:tcPr>
            <w:tcW w:w="8760" w:type="dxa"/>
            <w:vAlign w:val="bottom"/>
          </w:tcPr>
          <w:p>
            <w:pPr>
              <w:spacing w:after="0"/>
              <w:rPr>
                <w:sz w:val="20"/>
                <w:szCs w:val="20"/>
                <w:color w:val="auto"/>
              </w:rPr>
            </w:pPr>
            <w:r>
              <w:rPr>
                <w:rFonts w:ascii="Arial" w:cs="Arial" w:eastAsia="Arial" w:hAnsi="Arial"/>
                <w:sz w:val="18"/>
                <w:szCs w:val="18"/>
                <w:color w:val="auto"/>
              </w:rPr>
              <w:t>Progress Software Corporation of Canada Ltd.</w:t>
            </w:r>
          </w:p>
        </w:tc>
      </w:tr>
      <w:tr>
        <w:trPr>
          <w:trHeight w:val="230"/>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Delaware</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Progress Software International LLC</w:t>
            </w:r>
          </w:p>
        </w:tc>
      </w:tr>
      <w:tr>
        <w:trPr>
          <w:trHeight w:val="229"/>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Delaware</w:t>
            </w:r>
          </w:p>
        </w:tc>
        <w:tc>
          <w:tcPr>
            <w:tcW w:w="8760" w:type="dxa"/>
            <w:vAlign w:val="bottom"/>
          </w:tcPr>
          <w:p>
            <w:pPr>
              <w:spacing w:after="0"/>
              <w:rPr>
                <w:sz w:val="20"/>
                <w:szCs w:val="20"/>
                <w:color w:val="auto"/>
              </w:rPr>
            </w:pPr>
            <w:r>
              <w:rPr>
                <w:rFonts w:ascii="Arial" w:cs="Arial" w:eastAsia="Arial" w:hAnsi="Arial"/>
                <w:sz w:val="18"/>
                <w:szCs w:val="18"/>
                <w:color w:val="auto"/>
              </w:rPr>
              <w:t>Progress Software Denmark A/S</w:t>
            </w:r>
          </w:p>
        </w:tc>
      </w:tr>
      <w:tr>
        <w:trPr>
          <w:trHeight w:val="229"/>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Delaware</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Progress Software Germany GmbH</w:t>
            </w:r>
          </w:p>
        </w:tc>
      </w:tr>
      <w:tr>
        <w:trPr>
          <w:trHeight w:val="230"/>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Delaware</w:t>
            </w:r>
          </w:p>
        </w:tc>
        <w:tc>
          <w:tcPr>
            <w:tcW w:w="8760" w:type="dxa"/>
            <w:vAlign w:val="bottom"/>
          </w:tcPr>
          <w:p>
            <w:pPr>
              <w:spacing w:after="0"/>
              <w:rPr>
                <w:sz w:val="20"/>
                <w:szCs w:val="20"/>
                <w:color w:val="auto"/>
              </w:rPr>
            </w:pPr>
            <w:r>
              <w:rPr>
                <w:rFonts w:ascii="Arial" w:cs="Arial" w:eastAsia="Arial" w:hAnsi="Arial"/>
                <w:sz w:val="18"/>
                <w:szCs w:val="18"/>
                <w:color w:val="auto"/>
              </w:rPr>
              <w:t>MPC Kappa Holdings, Inc.</w:t>
            </w:r>
          </w:p>
        </w:tc>
      </w:tr>
      <w:tr>
        <w:trPr>
          <w:trHeight w:val="229"/>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Delaware</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MPC Kappa Intermediate, Inc.</w:t>
            </w:r>
          </w:p>
        </w:tc>
      </w:tr>
      <w:tr>
        <w:trPr>
          <w:trHeight w:val="230"/>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Delaware</w:t>
            </w:r>
          </w:p>
        </w:tc>
        <w:tc>
          <w:tcPr>
            <w:tcW w:w="8760" w:type="dxa"/>
            <w:vAlign w:val="bottom"/>
          </w:tcPr>
          <w:p>
            <w:pPr>
              <w:spacing w:after="0"/>
              <w:rPr>
                <w:sz w:val="20"/>
                <w:szCs w:val="20"/>
                <w:color w:val="auto"/>
              </w:rPr>
            </w:pPr>
            <w:r>
              <w:rPr>
                <w:rFonts w:ascii="Arial" w:cs="Arial" w:eastAsia="Arial" w:hAnsi="Arial"/>
                <w:sz w:val="18"/>
                <w:szCs w:val="18"/>
                <w:color w:val="auto"/>
              </w:rPr>
              <w:t>Kemp Technologies, Inc.</w:t>
            </w:r>
          </w:p>
        </w:tc>
      </w:tr>
      <w:tr>
        <w:trPr>
          <w:trHeight w:val="229"/>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Delaware</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Flowmon Networks, Inc.</w:t>
            </w: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760" w:type="dxa"/>
            <w:vAlign w:val="bottom"/>
          </w:tcPr>
          <w:p>
            <w:pPr>
              <w:spacing w:after="0"/>
              <w:rPr>
                <w:sz w:val="23"/>
                <w:szCs w:val="23"/>
                <w:color w:val="auto"/>
              </w:rPr>
            </w:pPr>
          </w:p>
        </w:tc>
      </w:tr>
      <w:tr>
        <w:trPr>
          <w:trHeight w:val="229"/>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EMEA</w:t>
            </w:r>
          </w:p>
        </w:tc>
        <w:tc>
          <w:tcPr>
            <w:tcW w:w="8760" w:type="dxa"/>
            <w:vAlign w:val="bottom"/>
            <w:shd w:val="clear" w:color="auto" w:fill="CCEEFF"/>
          </w:tcPr>
          <w:p>
            <w:pPr>
              <w:spacing w:after="0"/>
              <w:rPr>
                <w:sz w:val="19"/>
                <w:szCs w:val="19"/>
                <w:color w:val="auto"/>
              </w:rPr>
            </w:pPr>
          </w:p>
        </w:tc>
      </w:tr>
      <w:tr>
        <w:trPr>
          <w:trHeight w:val="230"/>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Austria</w:t>
            </w:r>
          </w:p>
        </w:tc>
        <w:tc>
          <w:tcPr>
            <w:tcW w:w="8760" w:type="dxa"/>
            <w:vAlign w:val="bottom"/>
          </w:tcPr>
          <w:p>
            <w:pPr>
              <w:spacing w:after="0"/>
              <w:rPr>
                <w:sz w:val="20"/>
                <w:szCs w:val="20"/>
                <w:color w:val="auto"/>
              </w:rPr>
            </w:pPr>
            <w:r>
              <w:rPr>
                <w:rFonts w:ascii="Arial" w:cs="Arial" w:eastAsia="Arial" w:hAnsi="Arial"/>
                <w:sz w:val="18"/>
                <w:szCs w:val="18"/>
                <w:color w:val="auto"/>
              </w:rPr>
              <w:t>Progress Software GesmbH</w:t>
            </w:r>
          </w:p>
        </w:tc>
      </w:tr>
      <w:tr>
        <w:trPr>
          <w:trHeight w:val="229"/>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Belgium</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Progress Software NV</w:t>
            </w:r>
          </w:p>
        </w:tc>
      </w:tr>
      <w:tr>
        <w:trPr>
          <w:trHeight w:val="229"/>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Bulgaria</w:t>
            </w:r>
          </w:p>
        </w:tc>
        <w:tc>
          <w:tcPr>
            <w:tcW w:w="8760" w:type="dxa"/>
            <w:vAlign w:val="bottom"/>
          </w:tcPr>
          <w:p>
            <w:pPr>
              <w:spacing w:after="0"/>
              <w:rPr>
                <w:sz w:val="20"/>
                <w:szCs w:val="20"/>
                <w:color w:val="auto"/>
              </w:rPr>
            </w:pPr>
            <w:r>
              <w:rPr>
                <w:rFonts w:ascii="Arial" w:cs="Arial" w:eastAsia="Arial" w:hAnsi="Arial"/>
                <w:sz w:val="18"/>
                <w:szCs w:val="18"/>
                <w:color w:val="auto"/>
              </w:rPr>
              <w:t>Progress Software EAD</w:t>
            </w:r>
          </w:p>
        </w:tc>
      </w:tr>
      <w:tr>
        <w:trPr>
          <w:trHeight w:val="230"/>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Bulgaria</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Trident Acquisition EAD</w:t>
            </w:r>
          </w:p>
        </w:tc>
      </w:tr>
      <w:tr>
        <w:trPr>
          <w:trHeight w:val="229"/>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Czech Republic</w:t>
            </w:r>
          </w:p>
        </w:tc>
        <w:tc>
          <w:tcPr>
            <w:tcW w:w="8760" w:type="dxa"/>
            <w:vAlign w:val="bottom"/>
          </w:tcPr>
          <w:p>
            <w:pPr>
              <w:spacing w:after="0"/>
              <w:rPr>
                <w:sz w:val="20"/>
                <w:szCs w:val="20"/>
                <w:color w:val="auto"/>
              </w:rPr>
            </w:pPr>
            <w:r>
              <w:rPr>
                <w:rFonts w:ascii="Arial" w:cs="Arial" w:eastAsia="Arial" w:hAnsi="Arial"/>
                <w:sz w:val="18"/>
                <w:szCs w:val="18"/>
                <w:color w:val="auto"/>
              </w:rPr>
              <w:t>Flowmon Networks, A.S.</w:t>
            </w:r>
          </w:p>
        </w:tc>
      </w:tr>
      <w:tr>
        <w:trPr>
          <w:trHeight w:val="230"/>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Denmark</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Progress Software A/S</w:t>
            </w:r>
          </w:p>
        </w:tc>
      </w:tr>
      <w:tr>
        <w:trPr>
          <w:trHeight w:val="229"/>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Finland</w:t>
            </w:r>
          </w:p>
        </w:tc>
        <w:tc>
          <w:tcPr>
            <w:tcW w:w="8760" w:type="dxa"/>
            <w:vAlign w:val="bottom"/>
          </w:tcPr>
          <w:p>
            <w:pPr>
              <w:spacing w:after="0"/>
              <w:rPr>
                <w:sz w:val="20"/>
                <w:szCs w:val="20"/>
                <w:color w:val="auto"/>
              </w:rPr>
            </w:pPr>
            <w:r>
              <w:rPr>
                <w:rFonts w:ascii="Arial" w:cs="Arial" w:eastAsia="Arial" w:hAnsi="Arial"/>
                <w:sz w:val="18"/>
                <w:szCs w:val="18"/>
                <w:color w:val="auto"/>
              </w:rPr>
              <w:t>Progress Software Oy</w:t>
            </w:r>
          </w:p>
        </w:tc>
      </w:tr>
      <w:tr>
        <w:trPr>
          <w:trHeight w:val="229"/>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France</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Progress Software S.A.S.</w:t>
            </w:r>
          </w:p>
        </w:tc>
      </w:tr>
      <w:tr>
        <w:trPr>
          <w:trHeight w:val="230"/>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Germany</w:t>
            </w:r>
          </w:p>
        </w:tc>
        <w:tc>
          <w:tcPr>
            <w:tcW w:w="8760" w:type="dxa"/>
            <w:vAlign w:val="bottom"/>
          </w:tcPr>
          <w:p>
            <w:pPr>
              <w:spacing w:after="0"/>
              <w:rPr>
                <w:sz w:val="20"/>
                <w:szCs w:val="20"/>
                <w:color w:val="auto"/>
              </w:rPr>
            </w:pPr>
            <w:r>
              <w:rPr>
                <w:rFonts w:ascii="Arial" w:cs="Arial" w:eastAsia="Arial" w:hAnsi="Arial"/>
                <w:sz w:val="18"/>
                <w:szCs w:val="18"/>
                <w:color w:val="auto"/>
              </w:rPr>
              <w:t>Progress Software GmbH</w:t>
            </w:r>
          </w:p>
        </w:tc>
      </w:tr>
      <w:tr>
        <w:trPr>
          <w:trHeight w:val="230"/>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Ireland</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Progress Software Technologies Limited</w:t>
            </w:r>
          </w:p>
        </w:tc>
      </w:tr>
      <w:tr>
        <w:trPr>
          <w:trHeight w:val="230"/>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Ireland</w:t>
            </w:r>
          </w:p>
        </w:tc>
        <w:tc>
          <w:tcPr>
            <w:tcW w:w="8760" w:type="dxa"/>
            <w:vAlign w:val="bottom"/>
          </w:tcPr>
          <w:p>
            <w:pPr>
              <w:spacing w:after="0"/>
              <w:rPr>
                <w:sz w:val="20"/>
                <w:szCs w:val="20"/>
                <w:color w:val="auto"/>
              </w:rPr>
            </w:pPr>
            <w:r>
              <w:rPr>
                <w:rFonts w:ascii="Arial" w:cs="Arial" w:eastAsia="Arial" w:hAnsi="Arial"/>
                <w:sz w:val="18"/>
                <w:szCs w:val="18"/>
                <w:color w:val="auto"/>
              </w:rPr>
              <w:t>SPK Acquisitions Limited</w:t>
            </w:r>
          </w:p>
        </w:tc>
      </w:tr>
      <w:tr>
        <w:trPr>
          <w:trHeight w:val="230"/>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Ireland</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Kemp Technologies Limited</w:t>
            </w:r>
          </w:p>
        </w:tc>
      </w:tr>
      <w:tr>
        <w:trPr>
          <w:trHeight w:val="229"/>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Italy</w:t>
            </w:r>
          </w:p>
        </w:tc>
        <w:tc>
          <w:tcPr>
            <w:tcW w:w="8760" w:type="dxa"/>
            <w:vAlign w:val="bottom"/>
          </w:tcPr>
          <w:p>
            <w:pPr>
              <w:spacing w:after="0"/>
              <w:rPr>
                <w:sz w:val="20"/>
                <w:szCs w:val="20"/>
                <w:color w:val="auto"/>
              </w:rPr>
            </w:pPr>
            <w:r>
              <w:rPr>
                <w:rFonts w:ascii="Arial" w:cs="Arial" w:eastAsia="Arial" w:hAnsi="Arial"/>
                <w:sz w:val="18"/>
                <w:szCs w:val="18"/>
                <w:color w:val="auto"/>
              </w:rPr>
              <w:t>Progress Software Italy S.r.l.</w:t>
            </w:r>
          </w:p>
        </w:tc>
      </w:tr>
      <w:tr>
        <w:trPr>
          <w:trHeight w:val="230"/>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Netherlands</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Progress Software B.V.</w:t>
            </w:r>
          </w:p>
        </w:tc>
      </w:tr>
      <w:tr>
        <w:trPr>
          <w:trHeight w:val="230"/>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Netherlands</w:t>
            </w:r>
          </w:p>
        </w:tc>
        <w:tc>
          <w:tcPr>
            <w:tcW w:w="8760" w:type="dxa"/>
            <w:vAlign w:val="bottom"/>
          </w:tcPr>
          <w:p>
            <w:pPr>
              <w:spacing w:after="0"/>
              <w:rPr>
                <w:sz w:val="20"/>
                <w:szCs w:val="20"/>
                <w:color w:val="auto"/>
              </w:rPr>
            </w:pPr>
            <w:r>
              <w:rPr>
                <w:rFonts w:ascii="Arial" w:cs="Arial" w:eastAsia="Arial" w:hAnsi="Arial"/>
                <w:sz w:val="18"/>
                <w:szCs w:val="18"/>
                <w:color w:val="auto"/>
              </w:rPr>
              <w:t>Progress Software Europe B.V.</w:t>
            </w:r>
          </w:p>
        </w:tc>
      </w:tr>
      <w:tr>
        <w:trPr>
          <w:trHeight w:val="230"/>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Norway</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Progress Software A/S</w:t>
            </w:r>
          </w:p>
        </w:tc>
      </w:tr>
      <w:tr>
        <w:trPr>
          <w:trHeight w:val="229"/>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Poland</w:t>
            </w:r>
          </w:p>
        </w:tc>
        <w:tc>
          <w:tcPr>
            <w:tcW w:w="8760" w:type="dxa"/>
            <w:vAlign w:val="bottom"/>
          </w:tcPr>
          <w:p>
            <w:pPr>
              <w:spacing w:after="0"/>
              <w:rPr>
                <w:sz w:val="20"/>
                <w:szCs w:val="20"/>
                <w:color w:val="auto"/>
              </w:rPr>
            </w:pPr>
            <w:r>
              <w:rPr>
                <w:rFonts w:ascii="Arial" w:cs="Arial" w:eastAsia="Arial" w:hAnsi="Arial"/>
                <w:sz w:val="18"/>
                <w:szCs w:val="18"/>
                <w:color w:val="auto"/>
              </w:rPr>
              <w:t>Progress Software Sp. z.o o.</w:t>
            </w:r>
          </w:p>
        </w:tc>
      </w:tr>
      <w:tr>
        <w:trPr>
          <w:trHeight w:val="230"/>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South Africa</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Progress Software (Pty) Ltd</w:t>
            </w:r>
          </w:p>
        </w:tc>
      </w:tr>
      <w:tr>
        <w:trPr>
          <w:trHeight w:val="230"/>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Spain</w:t>
            </w:r>
          </w:p>
        </w:tc>
        <w:tc>
          <w:tcPr>
            <w:tcW w:w="8760" w:type="dxa"/>
            <w:vAlign w:val="bottom"/>
          </w:tcPr>
          <w:p>
            <w:pPr>
              <w:spacing w:after="0"/>
              <w:rPr>
                <w:sz w:val="20"/>
                <w:szCs w:val="20"/>
                <w:color w:val="auto"/>
              </w:rPr>
            </w:pPr>
            <w:r>
              <w:rPr>
                <w:rFonts w:ascii="Arial" w:cs="Arial" w:eastAsia="Arial" w:hAnsi="Arial"/>
                <w:sz w:val="18"/>
                <w:szCs w:val="18"/>
                <w:color w:val="auto"/>
              </w:rPr>
              <w:t>IONA Technologies Spain SL</w:t>
            </w:r>
          </w:p>
        </w:tc>
      </w:tr>
      <w:tr>
        <w:trPr>
          <w:trHeight w:val="230"/>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Spain</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Progress Software S.L.</w:t>
            </w:r>
          </w:p>
        </w:tc>
      </w:tr>
      <w:tr>
        <w:trPr>
          <w:trHeight w:val="229"/>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Sweden</w:t>
            </w:r>
          </w:p>
        </w:tc>
        <w:tc>
          <w:tcPr>
            <w:tcW w:w="8760" w:type="dxa"/>
            <w:vAlign w:val="bottom"/>
          </w:tcPr>
          <w:p>
            <w:pPr>
              <w:spacing w:after="0"/>
              <w:rPr>
                <w:sz w:val="20"/>
                <w:szCs w:val="20"/>
                <w:color w:val="auto"/>
              </w:rPr>
            </w:pPr>
            <w:r>
              <w:rPr>
                <w:rFonts w:ascii="Arial" w:cs="Arial" w:eastAsia="Arial" w:hAnsi="Arial"/>
                <w:sz w:val="18"/>
                <w:szCs w:val="18"/>
                <w:color w:val="auto"/>
              </w:rPr>
              <w:t>Progress Software Svenska AB</w:t>
            </w:r>
          </w:p>
        </w:tc>
      </w:tr>
      <w:tr>
        <w:trPr>
          <w:trHeight w:val="230"/>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Switzerland</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Progress Software AG</w:t>
            </w:r>
          </w:p>
        </w:tc>
      </w:tr>
      <w:tr>
        <w:trPr>
          <w:trHeight w:val="230"/>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United Kingdom</w:t>
            </w:r>
          </w:p>
        </w:tc>
        <w:tc>
          <w:tcPr>
            <w:tcW w:w="8760" w:type="dxa"/>
            <w:vAlign w:val="bottom"/>
          </w:tcPr>
          <w:p>
            <w:pPr>
              <w:spacing w:after="0"/>
              <w:rPr>
                <w:sz w:val="20"/>
                <w:szCs w:val="20"/>
                <w:color w:val="auto"/>
              </w:rPr>
            </w:pPr>
            <w:r>
              <w:rPr>
                <w:rFonts w:ascii="Arial" w:cs="Arial" w:eastAsia="Arial" w:hAnsi="Arial"/>
                <w:sz w:val="18"/>
                <w:szCs w:val="18"/>
                <w:color w:val="auto"/>
              </w:rPr>
              <w:t>Apama (UK) Limited</w:t>
            </w:r>
          </w:p>
        </w:tc>
      </w:tr>
      <w:tr>
        <w:trPr>
          <w:trHeight w:val="230"/>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United Kingdom</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Trident Acquisition Limited</w:t>
            </w:r>
          </w:p>
        </w:tc>
      </w:tr>
      <w:tr>
        <w:trPr>
          <w:trHeight w:val="230"/>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United Kingdom</w:t>
            </w:r>
          </w:p>
        </w:tc>
        <w:tc>
          <w:tcPr>
            <w:tcW w:w="8760" w:type="dxa"/>
            <w:vAlign w:val="bottom"/>
          </w:tcPr>
          <w:p>
            <w:pPr>
              <w:spacing w:after="0"/>
              <w:rPr>
                <w:sz w:val="20"/>
                <w:szCs w:val="20"/>
                <w:color w:val="auto"/>
              </w:rPr>
            </w:pPr>
            <w:r>
              <w:rPr>
                <w:rFonts w:ascii="Arial" w:cs="Arial" w:eastAsia="Arial" w:hAnsi="Arial"/>
                <w:sz w:val="18"/>
                <w:szCs w:val="18"/>
                <w:color w:val="auto"/>
              </w:rPr>
              <w:t>Progress Software Limited</w:t>
            </w: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Latin America</w:t>
            </w:r>
          </w:p>
        </w:tc>
        <w:tc>
          <w:tcPr>
            <w:tcW w:w="8760" w:type="dxa"/>
            <w:vAlign w:val="bottom"/>
          </w:tcPr>
          <w:p>
            <w:pPr>
              <w:spacing w:after="0"/>
              <w:rPr>
                <w:sz w:val="19"/>
                <w:szCs w:val="19"/>
                <w:color w:val="auto"/>
              </w:rPr>
            </w:pPr>
          </w:p>
        </w:tc>
      </w:tr>
      <w:tr>
        <w:trPr>
          <w:trHeight w:val="230"/>
        </w:trPr>
        <w:tc>
          <w:tcPr>
            <w:tcW w:w="2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Brazil</w:t>
            </w: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Progress Software do Brasil Ltda.</w:t>
            </w: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760" w:type="dxa"/>
            <w:vAlign w:val="bottom"/>
          </w:tcPr>
          <w:p>
            <w:pPr>
              <w:spacing w:after="0"/>
              <w:rPr>
                <w:sz w:val="23"/>
                <w:szCs w:val="23"/>
                <w:color w:val="auto"/>
              </w:rPr>
            </w:pPr>
          </w:p>
        </w:tc>
      </w:tr>
      <w:tr>
        <w:trPr>
          <w:trHeight w:val="230"/>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8760" w:type="dxa"/>
            <w:vAlign w:val="bottom"/>
            <w:shd w:val="clear" w:color="auto" w:fill="CCEEFF"/>
          </w:tcPr>
          <w:p>
            <w:pPr>
              <w:spacing w:after="0"/>
              <w:rPr>
                <w:sz w:val="19"/>
                <w:szCs w:val="19"/>
                <w:color w:val="auto"/>
              </w:rPr>
            </w:pPr>
          </w:p>
        </w:tc>
      </w:tr>
      <w:tr>
        <w:trPr>
          <w:trHeight w:val="230"/>
        </w:trPr>
        <w:tc>
          <w:tcPr>
            <w:tcW w:w="2420" w:type="dxa"/>
            <w:vAlign w:val="bottom"/>
            <w:gridSpan w:val="2"/>
          </w:tcPr>
          <w:p>
            <w:pPr>
              <w:ind w:left="460"/>
              <w:spacing w:after="0"/>
              <w:rPr>
                <w:sz w:val="20"/>
                <w:szCs w:val="20"/>
                <w:color w:val="auto"/>
              </w:rPr>
            </w:pPr>
            <w:r>
              <w:rPr>
                <w:rFonts w:ascii="Arial" w:cs="Arial" w:eastAsia="Arial" w:hAnsi="Arial"/>
                <w:sz w:val="18"/>
                <w:szCs w:val="18"/>
                <w:color w:val="auto"/>
              </w:rPr>
              <w:t>Australia</w:t>
            </w:r>
          </w:p>
        </w:tc>
        <w:tc>
          <w:tcPr>
            <w:tcW w:w="8760" w:type="dxa"/>
            <w:vAlign w:val="bottom"/>
          </w:tcPr>
          <w:p>
            <w:pPr>
              <w:spacing w:after="0"/>
              <w:rPr>
                <w:sz w:val="20"/>
                <w:szCs w:val="20"/>
                <w:color w:val="auto"/>
              </w:rPr>
            </w:pPr>
            <w:r>
              <w:rPr>
                <w:rFonts w:ascii="Arial" w:cs="Arial" w:eastAsia="Arial" w:hAnsi="Arial"/>
                <w:sz w:val="18"/>
                <w:szCs w:val="18"/>
                <w:color w:val="auto"/>
              </w:rPr>
              <w:t>Progress Software Pty. Ltd.</w:t>
            </w:r>
          </w:p>
        </w:tc>
      </w:tr>
    </w:tbl>
    <w:p>
      <w:pPr>
        <w:sectPr>
          <w:pgSz w:w="11900" w:h="16838" w:orient="portrait"/>
          <w:cols w:equalWidth="0" w:num="1">
            <w:col w:w="11240"/>
          </w:cols>
          <w:pgMar w:left="320" w:top="891"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China</w:t>
            </w:r>
          </w:p>
        </w:tc>
        <w:tc>
          <w:tcPr>
            <w:tcW w:w="9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Progress (Shanghai) Software System Company Limited</w:t>
            </w:r>
          </w:p>
        </w:tc>
      </w:tr>
      <w:tr>
        <w:trPr>
          <w:trHeight w:val="229"/>
        </w:trPr>
        <w:tc>
          <w:tcPr>
            <w:tcW w:w="1860" w:type="dxa"/>
            <w:vAlign w:val="bottom"/>
          </w:tcPr>
          <w:p>
            <w:pPr>
              <w:ind w:left="460"/>
              <w:spacing w:after="0"/>
              <w:rPr>
                <w:sz w:val="20"/>
                <w:szCs w:val="20"/>
                <w:color w:val="auto"/>
              </w:rPr>
            </w:pPr>
            <w:r>
              <w:rPr>
                <w:rFonts w:ascii="Arial" w:cs="Arial" w:eastAsia="Arial" w:hAnsi="Arial"/>
                <w:sz w:val="18"/>
                <w:szCs w:val="18"/>
                <w:color w:val="auto"/>
              </w:rPr>
              <w:t>Hong Kong</w:t>
            </w:r>
          </w:p>
        </w:tc>
        <w:tc>
          <w:tcPr>
            <w:tcW w:w="9320" w:type="dxa"/>
            <w:vAlign w:val="bottom"/>
          </w:tcPr>
          <w:p>
            <w:pPr>
              <w:ind w:left="560"/>
              <w:spacing w:after="0"/>
              <w:rPr>
                <w:sz w:val="20"/>
                <w:szCs w:val="20"/>
                <w:color w:val="auto"/>
              </w:rPr>
            </w:pPr>
            <w:r>
              <w:rPr>
                <w:rFonts w:ascii="Arial" w:cs="Arial" w:eastAsia="Arial" w:hAnsi="Arial"/>
                <w:sz w:val="18"/>
                <w:szCs w:val="18"/>
                <w:color w:val="auto"/>
              </w:rPr>
              <w:t>Progress Software Corporation Limited</w:t>
            </w:r>
          </w:p>
        </w:tc>
      </w:tr>
      <w:tr>
        <w:trPr>
          <w:trHeight w:val="230"/>
        </w:trPr>
        <w:tc>
          <w:tcPr>
            <w:tcW w:w="1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India</w:t>
            </w:r>
          </w:p>
        </w:tc>
        <w:tc>
          <w:tcPr>
            <w:tcW w:w="9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Progress Software Development Private Limited</w:t>
            </w:r>
          </w:p>
        </w:tc>
      </w:tr>
      <w:tr>
        <w:trPr>
          <w:trHeight w:val="229"/>
        </w:trPr>
        <w:tc>
          <w:tcPr>
            <w:tcW w:w="1860" w:type="dxa"/>
            <w:vAlign w:val="bottom"/>
          </w:tcPr>
          <w:p>
            <w:pPr>
              <w:ind w:left="460"/>
              <w:spacing w:after="0"/>
              <w:rPr>
                <w:sz w:val="20"/>
                <w:szCs w:val="20"/>
                <w:color w:val="auto"/>
              </w:rPr>
            </w:pPr>
            <w:r>
              <w:rPr>
                <w:rFonts w:ascii="Arial" w:cs="Arial" w:eastAsia="Arial" w:hAnsi="Arial"/>
                <w:sz w:val="18"/>
                <w:szCs w:val="18"/>
                <w:color w:val="auto"/>
              </w:rPr>
              <w:t>India</w:t>
            </w:r>
          </w:p>
        </w:tc>
        <w:tc>
          <w:tcPr>
            <w:tcW w:w="9320" w:type="dxa"/>
            <w:vAlign w:val="bottom"/>
          </w:tcPr>
          <w:p>
            <w:pPr>
              <w:ind w:left="560"/>
              <w:spacing w:after="0"/>
              <w:rPr>
                <w:sz w:val="20"/>
                <w:szCs w:val="20"/>
                <w:color w:val="auto"/>
              </w:rPr>
            </w:pPr>
            <w:r>
              <w:rPr>
                <w:rFonts w:ascii="Arial" w:cs="Arial" w:eastAsia="Arial" w:hAnsi="Arial"/>
                <w:sz w:val="18"/>
                <w:szCs w:val="18"/>
                <w:color w:val="auto"/>
              </w:rPr>
              <w:t>Progress Software Solutions India Private Limited</w:t>
            </w:r>
          </w:p>
        </w:tc>
      </w:tr>
      <w:tr>
        <w:trPr>
          <w:trHeight w:val="230"/>
        </w:trPr>
        <w:tc>
          <w:tcPr>
            <w:tcW w:w="1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India</w:t>
            </w:r>
          </w:p>
        </w:tc>
        <w:tc>
          <w:tcPr>
            <w:tcW w:w="9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Kemp Technologies India Private Limited</w:t>
            </w:r>
          </w:p>
        </w:tc>
      </w:tr>
      <w:tr>
        <w:trPr>
          <w:trHeight w:val="229"/>
        </w:trPr>
        <w:tc>
          <w:tcPr>
            <w:tcW w:w="1860" w:type="dxa"/>
            <w:vAlign w:val="bottom"/>
          </w:tcPr>
          <w:p>
            <w:pPr>
              <w:ind w:left="460"/>
              <w:spacing w:after="0"/>
              <w:rPr>
                <w:sz w:val="20"/>
                <w:szCs w:val="20"/>
                <w:color w:val="auto"/>
              </w:rPr>
            </w:pPr>
            <w:r>
              <w:rPr>
                <w:rFonts w:ascii="Arial" w:cs="Arial" w:eastAsia="Arial" w:hAnsi="Arial"/>
                <w:sz w:val="18"/>
                <w:szCs w:val="18"/>
                <w:color w:val="auto"/>
              </w:rPr>
              <w:t>Japan</w:t>
            </w:r>
          </w:p>
        </w:tc>
        <w:tc>
          <w:tcPr>
            <w:tcW w:w="9320" w:type="dxa"/>
            <w:vAlign w:val="bottom"/>
          </w:tcPr>
          <w:p>
            <w:pPr>
              <w:ind w:left="560"/>
              <w:spacing w:after="0"/>
              <w:rPr>
                <w:sz w:val="20"/>
                <w:szCs w:val="20"/>
                <w:color w:val="auto"/>
              </w:rPr>
            </w:pPr>
            <w:r>
              <w:rPr>
                <w:rFonts w:ascii="Arial" w:cs="Arial" w:eastAsia="Arial" w:hAnsi="Arial"/>
                <w:sz w:val="18"/>
                <w:szCs w:val="18"/>
                <w:color w:val="auto"/>
              </w:rPr>
              <w:t>Progress Software Japan KK</w:t>
            </w:r>
          </w:p>
        </w:tc>
      </w:tr>
      <w:tr>
        <w:trPr>
          <w:trHeight w:val="229"/>
        </w:trPr>
        <w:tc>
          <w:tcPr>
            <w:tcW w:w="1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Singapore</w:t>
            </w:r>
          </w:p>
        </w:tc>
        <w:tc>
          <w:tcPr>
            <w:tcW w:w="9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Progress Software Corporation (S) Pte. Ltd.</w:t>
            </w:r>
          </w:p>
        </w:tc>
      </w:tr>
      <w:tr>
        <w:trPr>
          <w:trHeight w:val="230"/>
        </w:trPr>
        <w:tc>
          <w:tcPr>
            <w:tcW w:w="1860" w:type="dxa"/>
            <w:vAlign w:val="bottom"/>
          </w:tcPr>
          <w:p>
            <w:pPr>
              <w:ind w:left="460"/>
              <w:spacing w:after="0"/>
              <w:rPr>
                <w:sz w:val="20"/>
                <w:szCs w:val="20"/>
                <w:color w:val="auto"/>
              </w:rPr>
            </w:pPr>
            <w:r>
              <w:rPr>
                <w:rFonts w:ascii="Arial" w:cs="Arial" w:eastAsia="Arial" w:hAnsi="Arial"/>
                <w:sz w:val="18"/>
                <w:szCs w:val="18"/>
                <w:color w:val="auto"/>
              </w:rPr>
              <w:t>Singapore</w:t>
            </w:r>
          </w:p>
        </w:tc>
        <w:tc>
          <w:tcPr>
            <w:tcW w:w="9320" w:type="dxa"/>
            <w:vAlign w:val="bottom"/>
          </w:tcPr>
          <w:p>
            <w:pPr>
              <w:ind w:left="560"/>
              <w:spacing w:after="0"/>
              <w:rPr>
                <w:sz w:val="20"/>
                <w:szCs w:val="20"/>
                <w:color w:val="auto"/>
              </w:rPr>
            </w:pPr>
            <w:r>
              <w:rPr>
                <w:rFonts w:ascii="Arial" w:cs="Arial" w:eastAsia="Arial" w:hAnsi="Arial"/>
                <w:sz w:val="18"/>
                <w:szCs w:val="18"/>
                <w:color w:val="auto"/>
              </w:rPr>
              <w:t>Kemp Technologies Pte. Ltd</w:t>
            </w:r>
          </w:p>
        </w:tc>
      </w:tr>
    </w:tbl>
    <w:p>
      <w:pPr>
        <w:sectPr>
          <w:pgSz w:w="11900" w:h="16838" w:orient="portrait"/>
          <w:cols w:equalWidth="0" w:num="1">
            <w:col w:w="11180"/>
          </w:cols>
          <w:pgMar w:left="360" w:top="936" w:right="35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We consent to the incorporation by reference in Registration Statement Nos. 333-80559, 333-41401, 333-41393, 033-50654, 033-96320, 333-41403, 333-80571, 333-98035, 333-101239, 333-122962, 333-146233, 333-150555, 333-236096, and 333-257519 on Form S-8 and No. 333-133724 on Form S-3 of our reports dated January 27, 2022, relating to the financial statements of Progress Software Corporation, and the effectiveness of Progress Software Corporation's internal control over financial reporting, appearing in this Annual Report on Form 10-K of Progress Software Corporation for the year ended November 30,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27, 2022</w:t>
      </w:r>
    </w:p>
    <w:p>
      <w:pPr>
        <w:sectPr>
          <w:pgSz w:w="11900" w:h="16838" w:orient="portrait"/>
          <w:cols w:equalWidth="0" w:num="1">
            <w:col w:w="11240"/>
          </w:cols>
          <w:pgMar w:left="320" w:top="89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Yogesh K. Gupta, certify that:</w:t>
      </w:r>
    </w:p>
    <w:p>
      <w:pPr>
        <w:spacing w:after="0" w:line="252"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Progress Software Corporation;</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340" w:right="80" w:hanging="8"/>
        <w:spacing w:after="0" w:line="263" w:lineRule="auto"/>
        <w:tabs>
          <w:tab w:leader="none" w:pos="5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340" w:right="400" w:hanging="8"/>
        <w:spacing w:after="0" w:line="263" w:lineRule="auto"/>
        <w:tabs>
          <w:tab w:leader="none" w:pos="5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40" w:right="60" w:hanging="8"/>
        <w:spacing w:after="0" w:line="308" w:lineRule="auto"/>
        <w:tabs>
          <w:tab w:leader="none" w:pos="525"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right="100" w:hanging="8"/>
        <w:spacing w:after="0" w:line="263" w:lineRule="auto"/>
        <w:tabs>
          <w:tab w:leader="none" w:pos="5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500" w:firstLine="8"/>
        <w:spacing w:after="0" w:line="308"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340" w:right="420" w:hanging="8"/>
        <w:spacing w:after="0" w:line="277" w:lineRule="auto"/>
        <w:tabs>
          <w:tab w:leader="none" w:pos="5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20" w:hanging="8"/>
        <w:spacing w:after="0" w:line="277" w:lineRule="auto"/>
        <w:tabs>
          <w:tab w:leader="none" w:pos="5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YOGESH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342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Yogesh K. Gupta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Anthony Folger, certify that:</w:t>
      </w:r>
    </w:p>
    <w:p>
      <w:pPr>
        <w:spacing w:after="0" w:line="252"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Progress Software Corporation;</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340" w:right="80" w:hanging="8"/>
        <w:spacing w:after="0" w:line="263" w:lineRule="auto"/>
        <w:tabs>
          <w:tab w:leader="none" w:pos="52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340" w:right="400" w:hanging="8"/>
        <w:spacing w:after="0" w:line="263" w:lineRule="auto"/>
        <w:tabs>
          <w:tab w:leader="none" w:pos="53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40" w:right="60" w:hanging="8"/>
        <w:spacing w:after="0" w:line="308" w:lineRule="auto"/>
        <w:tabs>
          <w:tab w:leader="none" w:pos="525"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right="100" w:hanging="8"/>
        <w:spacing w:after="0" w:line="263" w:lineRule="auto"/>
        <w:tabs>
          <w:tab w:leader="none" w:pos="53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500" w:firstLine="8"/>
        <w:spacing w:after="0" w:line="308" w:lineRule="auto"/>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340" w:right="420" w:hanging="8"/>
        <w:spacing w:after="0" w:line="277" w:lineRule="auto"/>
        <w:tabs>
          <w:tab w:leader="none" w:pos="52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20" w:hanging="8"/>
        <w:spacing w:after="0" w:line="277" w:lineRule="auto"/>
        <w:tabs>
          <w:tab w:leader="none" w:pos="53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ANTHONY FOLGER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428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Anthony Folger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on Form 10-K of Progress Software Corporation (the Company) for the year ended November 30, 2021, as filed with the Securities and Exchange Commission on the date hereof (the Report), each of the undersigned, Yogesh K. Gupta, President and Chief Executive Officer, and Anthony Folger, Chief Financial Officer, of the Company, certifies, to the best knowledge and belief of the signatory, pursuant to 18 U.S.C. Section 1350, as adopted pursuant to Section 906 of the Sarbanes-Oxley Act of 2002, that:</w:t>
      </w:r>
    </w:p>
    <w:p>
      <w:pPr>
        <w:spacing w:after="0" w:line="214" w:lineRule="exact"/>
        <w:rPr>
          <w:sz w:val="20"/>
          <w:szCs w:val="20"/>
          <w:color w:val="auto"/>
        </w:rPr>
      </w:pPr>
    </w:p>
    <w:p>
      <w:pPr>
        <w:ind w:left="520" w:hanging="188"/>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/s/ YOGESH K. GUPTA</w:t>
            </w:r>
          </w:p>
        </w:tc>
        <w:tc>
          <w:tcPr>
            <w:tcW w:w="4020" w:type="dxa"/>
            <w:vAlign w:val="bottom"/>
          </w:tcPr>
          <w:p>
            <w:pPr>
              <w:ind w:left="20"/>
              <w:spacing w:after="0"/>
              <w:rPr>
                <w:sz w:val="20"/>
                <w:szCs w:val="20"/>
                <w:color w:val="auto"/>
              </w:rPr>
            </w:pPr>
            <w:r>
              <w:rPr>
                <w:rFonts w:ascii="Arial" w:cs="Arial" w:eastAsia="Arial" w:hAnsi="Arial"/>
                <w:sz w:val="18"/>
                <w:szCs w:val="18"/>
                <w:color w:val="auto"/>
              </w:rPr>
              <w:t>/s/ ANTHONY FOLGER</w:t>
            </w:r>
          </w:p>
        </w:tc>
      </w:tr>
      <w:tr>
        <w:trPr>
          <w:trHeight w:val="224"/>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President and Chief Executive Officer</w:t>
            </w:r>
          </w:p>
        </w:tc>
        <w:tc>
          <w:tcPr>
            <w:tcW w:w="3200" w:type="dxa"/>
            <w:vAlign w:val="bottom"/>
          </w:tcPr>
          <w:p>
            <w:pPr>
              <w:spacing w:after="0"/>
              <w:rPr>
                <w:sz w:val="19"/>
                <w:szCs w:val="19"/>
                <w:color w:val="auto"/>
              </w:rPr>
            </w:pPr>
          </w:p>
        </w:tc>
        <w:tc>
          <w:tcPr>
            <w:tcW w:w="4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Chief Financial Officer</w:t>
            </w:r>
          </w:p>
        </w:tc>
      </w:tr>
      <w:tr>
        <w:trPr>
          <w:trHeight w:val="445"/>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Date:   January 27, 2022</w:t>
            </w:r>
          </w:p>
        </w:tc>
        <w:tc>
          <w:tcPr>
            <w:tcW w:w="4020" w:type="dxa"/>
            <w:vAlign w:val="bottom"/>
          </w:tcPr>
          <w:p>
            <w:pPr>
              <w:ind w:left="20"/>
              <w:spacing w:after="0"/>
              <w:rPr>
                <w:sz w:val="20"/>
                <w:szCs w:val="20"/>
                <w:color w:val="auto"/>
              </w:rPr>
            </w:pPr>
            <w:r>
              <w:rPr>
                <w:rFonts w:ascii="Arial" w:cs="Arial" w:eastAsia="Arial" w:hAnsi="Arial"/>
                <w:sz w:val="18"/>
                <w:szCs w:val="18"/>
                <w:color w:val="auto"/>
              </w:rPr>
              <w:t>Date:   January 27, 2022</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lvl w:ilvl="1">
      <w:lvlJc w:val="left"/>
      <w:lvlText w:val="\endash "/>
      <w:numFmt w:val="bullet"/>
      <w:start w:val="1"/>
    </w:lvl>
  </w:abstractNum>
  <w:abstractNum w:abstractNumId="11">
    <w:nsid w:val="2D1D5AE9"/>
    <w:multiLevelType w:val="hybridMultilevel"/>
    <w:lvl w:ilvl="0">
      <w:lvlJc w:val="left"/>
      <w:lvlText w:val="•"/>
      <w:numFmt w:val="bullet"/>
      <w:start w:val="1"/>
    </w:lvl>
    <w:lvl w:ilvl="1">
      <w:lvlJc w:val="left"/>
      <w:lvlText w:val="\endash "/>
      <w:numFmt w:val="bullet"/>
      <w:start w:val="1"/>
    </w:lvl>
  </w:abstractNum>
  <w:abstractNum w:abstractNumId="12">
    <w:nsid w:val="6763845E"/>
    <w:multiLevelType w:val="hybridMultilevel"/>
    <w:lvl w:ilvl="0">
      <w:lvlJc w:val="left"/>
      <w:lvlText w:val="•"/>
      <w:numFmt w:val="bullet"/>
      <w:start w:val="1"/>
    </w:lvl>
    <w:lvl w:ilvl="1">
      <w:lvlJc w:val="left"/>
      <w:lvlText w:val="\endash "/>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lowerRoman"/>
      <w:start w:val="3"/>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lvl w:ilvl="1">
      <w:lvlJc w:val="left"/>
      <w:lvlText w:val="•"/>
      <w:numFmt w:val="bullet"/>
      <w:start w:val="1"/>
    </w:lvl>
  </w:abstractNum>
  <w:abstractNum w:abstractNumId="25">
    <w:nsid w:val="8138641"/>
    <w:multiLevelType w:val="hybridMultilevel"/>
    <w:lvl w:ilvl="0">
      <w:lvlJc w:val="left"/>
      <w:lvlText w:val="%1"/>
      <w:numFmt w:val="decimal"/>
      <w:start w:val="1"/>
    </w:lvl>
    <w:lvl w:ilvl="1">
      <w:lvlJc w:val="left"/>
      <w:lvlText w:val="%2"/>
      <w:numFmt w:val="decimal"/>
      <w:start w:val="104"/>
    </w:lvl>
  </w:abstractNum>
  <w:abstractNum w:abstractNumId="26">
    <w:nsid w:val="1E7FF521"/>
    <w:multiLevelType w:val="hybridMultilevel"/>
    <w:lvl w:ilvl="0">
      <w:lvlJc w:val="left"/>
      <w:lvlText w:val="(%1)"/>
      <w:numFmt w:val="decimal"/>
      <w:start w:val="1"/>
    </w:lvl>
    <w:lvl w:ilvl="1">
      <w:lvlJc w:val="left"/>
      <w:lvlText w:val="%2"/>
      <w:numFmt w:val="decimal"/>
      <w:start w:val="1"/>
    </w:lvl>
  </w:abstractNum>
  <w:abstractNum w:abstractNumId="27">
    <w:nsid w:val="7C3DBD3D"/>
    <w:multiLevelType w:val="hybridMultilevel"/>
    <w:lvl w:ilvl="0">
      <w:lvlJc w:val="left"/>
      <w:lvlText w:val="(%1)"/>
      <w:numFmt w:val="decimal"/>
      <w:start w:val="26"/>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06" Type="http://schemas.openxmlformats.org/officeDocument/2006/relationships/hyperlink" Target="http://www.sec.gov/Archives/edgar/data/876167/000087616719000039/spa.htm" TargetMode="External"/><Relationship Id="rId107" Type="http://schemas.openxmlformats.org/officeDocument/2006/relationships/hyperlink" Target="http://www.sec.gov/Archives/edgar/data/876167/000087616720000123/mergeragreementexecvfi.htm" TargetMode="External"/><Relationship Id="rId108" Type="http://schemas.openxmlformats.org/officeDocument/2006/relationships/hyperlink" Target="https://www.sec.gov/Archives/edgar/data/876167/000087616721000131/kempspafor8-k.htm" TargetMode="External"/><Relationship Id="rId109" Type="http://schemas.openxmlformats.org/officeDocument/2006/relationships/hyperlink" Target="http://www.sec.gov/Archives/edgar/data/876167/000087616715000031/planofdomestication.htm" TargetMode="External"/><Relationship Id="rId110" Type="http://schemas.openxmlformats.org/officeDocument/2006/relationships/hyperlink" Target="http://www.sec.gov/Archives/edgar/data/876167/000087616715000031/pscdecertificateofconver.htm" TargetMode="External"/><Relationship Id="rId111" Type="http://schemas.openxmlformats.org/officeDocument/2006/relationships/hyperlink" Target="http://www.sec.gov/Archives/edgar/data/876167/000087616715000031/pscdecertificateofincorp.htm" TargetMode="External"/><Relationship Id="rId112" Type="http://schemas.openxmlformats.org/officeDocument/2006/relationships/hyperlink" Target="http://www.sec.gov/Archives/edgar/data/876167/000087616716000060/q42015exhibit32one.htm" TargetMode="External"/><Relationship Id="rId113" Type="http://schemas.openxmlformats.org/officeDocument/2006/relationships/hyperlink" Target="http://www.sec.gov/Archives/edgar/data/876167/000087616719000102/exhibit31-q22019.htm" TargetMode="External"/><Relationship Id="rId114" Type="http://schemas.openxmlformats.org/officeDocument/2006/relationships/hyperlink" Target="http://www.sec.gov/Archives/edgar/data/876167/000119312512029136/d265673dex41.htm" TargetMode="External"/><Relationship Id="rId115" Type="http://schemas.openxmlformats.org/officeDocument/2006/relationships/hyperlink" Target="http://www.sec.gov/Archives/edgar/data/876167/000087616720000027/q42019exhibit42.htm" TargetMode="External"/><Relationship Id="rId116" Type="http://schemas.openxmlformats.org/officeDocument/2006/relationships/hyperlink" Target="https://www.sec.gov/Archives/edgar/data/876167/000087616721000081/exhibit41.htm" TargetMode="External"/><Relationship Id="rId117" Type="http://schemas.openxmlformats.org/officeDocument/2006/relationships/hyperlink" Target="http://www.sec.gov/Archives/edgar/data/876167/000095012310006833/b79059exv10w1.htm" TargetMode="External"/><Relationship Id="rId118" Type="http://schemas.openxmlformats.org/officeDocument/2006/relationships/hyperlink" Target="http://www.sec.gov/Archives/edgar/data/876167/000095012310006833/b79059exv10w2.htm" TargetMode="External"/><Relationship Id="rId119" Type="http://schemas.openxmlformats.org/officeDocument/2006/relationships/hyperlink" Target="http://www.sec.gov/Archives/edgar/data/876167/000087616713000010/exhibit103_201210-k.htm" TargetMode="External"/><Relationship Id="rId120" Type="http://schemas.openxmlformats.org/officeDocument/2006/relationships/hyperlink" Target="http://www.sec.gov/Archives/edgar/data/876167/000087616714000013/exhibit104.htm" TargetMode="External"/><Relationship Id="rId121" Type="http://schemas.openxmlformats.org/officeDocument/2006/relationships/hyperlink" Target="http://www.sec.gov/Archives/edgar/data/876167/000087616716000060/q42015exhibit105.htm" TargetMode="External"/><Relationship Id="rId122" Type="http://schemas.openxmlformats.org/officeDocument/2006/relationships/hyperlink" Target="http://www.sec.gov/Archives/edgar/data/876167/000087616716000060/q42015exhibit106.htm" TargetMode="External"/><Relationship Id="rId123" Type="http://schemas.openxmlformats.org/officeDocument/2006/relationships/hyperlink" Target="http://www.sec.gov/Archives/edgar/data/876167/000087616716000075/a2016definitiveproxystatem.htm" TargetMode="External"/><Relationship Id="rId124" Type="http://schemas.openxmlformats.org/officeDocument/2006/relationships/hyperlink" Target="http://www.sec.gov/Archives/edgar/data/876167/000087616713000033/definitiveproxy2013.htm" TargetMode="External"/><Relationship Id="rId125" Type="http://schemas.openxmlformats.org/officeDocument/2006/relationships/hyperlink" Target="http://www.sec.gov/Archives/edgar/data/876167/000087616714000013/exhibit109.htm" TargetMode="External"/><Relationship Id="rId126" Type="http://schemas.openxmlformats.org/officeDocument/2006/relationships/hyperlink" Target="http://www.sec.gov/Archives/edgar/data/876167/000087616713000010/exhibit1010_201210-k.htm" TargetMode="External"/><Relationship Id="rId129" Type="http://schemas.openxmlformats.org/officeDocument/2006/relationships/hyperlink" Target="http://www.sec.gov/Archives/edgar/data/876167/000087616720000080/exhibit101-q12020.htm" TargetMode="External"/><Relationship Id="rId130" Type="http://schemas.openxmlformats.org/officeDocument/2006/relationships/hyperlink" Target="http://www.sec.gov/Archives/edgar/data/876167/000087616714000013/exhibit1012.htm" TargetMode="External"/><Relationship Id="rId131" Type="http://schemas.openxmlformats.org/officeDocument/2006/relationships/hyperlink" Target="http://www.sec.gov/Archives/edgar/data/876167/000087616714000013/exhibit1013.htm" TargetMode="External"/><Relationship Id="rId132" Type="http://schemas.openxmlformats.org/officeDocument/2006/relationships/hyperlink" Target="http://www.sec.gov/Archives/edgar/data/876167/000087616714000013/exhibit1014.htm" TargetMode="External"/><Relationship Id="rId133" Type="http://schemas.openxmlformats.org/officeDocument/2006/relationships/hyperlink" Target="http://www.sec.gov/Archives/edgar/data/876167/000087616715000009/q42014exhibit1015.htm" TargetMode="External"/><Relationship Id="rId134" Type="http://schemas.openxmlformats.org/officeDocument/2006/relationships/hyperlink" Target="https://www.sec.gov/Archives/edgar/data/876167/000087616722000034/progresssoftware-2022thi.htm" TargetMode="External"/><Relationship Id="rId135" Type="http://schemas.openxmlformats.org/officeDocument/2006/relationships/hyperlink" Target="http://www.sec.gov/Archives/edgar/data/876167/000087616716000107/ceoemploymentagreementfinal.htm" TargetMode="External"/><Relationship Id="rId136" Type="http://schemas.openxmlformats.org/officeDocument/2006/relationships/hyperlink" Target="http://www.sec.gov/Archives/edgar/data/876167/000087616716000107/ceoermafinal.htm" TargetMode="External"/><Relationship Id="rId137" Type="http://schemas.openxmlformats.org/officeDocument/2006/relationships/hyperlink" Target="http://www.sec.gov/Archives/edgar/data/876167/000087616720000008/eafinal.htm" TargetMode="External"/><Relationship Id="rId138" Type="http://schemas.openxmlformats.org/officeDocument/2006/relationships/hyperlink" Target="http://www.sec.gov/Archives/edgar/data/876167/000087616720000027/q42019exhibit1020.htm" TargetMode="External"/><Relationship Id="rId139" Type="http://schemas.openxmlformats.org/officeDocument/2006/relationships/hyperlink" Target="http://www.sec.gov/Archives/edgar/data/876167/000087616720000027/q42019exhibit1021.htm" TargetMode="External"/><Relationship Id="rId140" Type="http://schemas.openxmlformats.org/officeDocument/2006/relationships/hyperlink" Target="http://www.sec.gov/Archives/edgar/data/876167/000087616720000027/q42019exhibit1022.htm" TargetMode="External"/><Relationship Id="rId141" Type="http://schemas.openxmlformats.org/officeDocument/2006/relationships/hyperlink" Target="https://www.sec.gov/Archives/edgar/data/876167/000087616721000081/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2022-01-27T14:28:22Z</dcterms:created>
  <dcterms:modified xsi:type="dcterms:W3CDTF">2022-01-27T14:28:22Z</dcterms:modified>
</cp:coreProperties>
</file>