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126365</wp:posOffset>
            </wp:positionV>
            <wp:extent cx="17145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156210</wp:posOffset>
            </wp:positionV>
            <wp:extent cx="1714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21"/>
          <w:szCs w:val="21"/>
          <w:b w:val="1"/>
          <w:bCs w:val="1"/>
          <w:color w:val="auto"/>
        </w:rPr>
        <w:t>September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140970</wp:posOffset>
            </wp:positionV>
            <wp:extent cx="1714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Progress Software Corporation</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109220</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sectPr>
      </w:pPr>
    </w:p>
    <w:p>
      <w:pPr>
        <w:spacing w:after="0" w:line="200" w:lineRule="exact"/>
        <w:rPr>
          <w:sz w:val="24"/>
          <w:szCs w:val="24"/>
          <w:color w:val="auto"/>
        </w:rPr>
      </w:pPr>
    </w:p>
    <w:p>
      <w:pPr>
        <w:spacing w:after="0" w:line="314"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0-19417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4"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04-2746201</w:t>
      </w:r>
    </w:p>
    <w:p>
      <w:pPr>
        <w:spacing w:after="0" w:line="47" w:lineRule="exact"/>
        <w:rPr>
          <w:sz w:val="24"/>
          <w:szCs w:val="24"/>
          <w:color w:val="auto"/>
        </w:rPr>
      </w:pPr>
    </w:p>
    <w:p>
      <w:pPr>
        <w:sectPr>
          <w:pgSz w:w="11900" w:h="16838" w:orient="portrait"/>
          <w:cols w:equalWidth="0" w:num="3">
            <w:col w:w="4800" w:space="720"/>
            <w:col w:w="2000" w:space="720"/>
            <w:col w:w="3000"/>
          </w:cols>
          <w:pgMar w:left="320" w:top="1222" w:right="33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500" w:space="560"/>
            <w:col w:w="1840" w:space="720"/>
            <w:col w:w="3620"/>
          </w:cols>
          <w:pgMar w:left="320" w:top="1222" w:right="339" w:bottom="1440" w:gutter="0" w:footer="0" w:header="0"/>
          <w:type w:val="continuous"/>
        </w:sectPr>
      </w:pPr>
    </w:p>
    <w:p>
      <w:pPr>
        <w:spacing w:after="0" w:line="11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15 Wayside Road, Suite 400, Burlington, Massachusetts</w:t>
      </w:r>
    </w:p>
    <w:p>
      <w:pPr>
        <w:spacing w:after="0" w:line="20" w:lineRule="exact"/>
        <w:rPr>
          <w:sz w:val="24"/>
          <w:szCs w:val="24"/>
          <w:color w:val="auto"/>
        </w:rPr>
      </w:pPr>
      <w:r>
        <w:rPr>
          <w:sz w:val="24"/>
          <w:szCs w:val="24"/>
          <w:color w:val="auto"/>
        </w:rPr>
        <w:br w:type="column"/>
      </w:r>
    </w:p>
    <w:p>
      <w:pPr>
        <w:spacing w:after="0" w:line="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01803</w:t>
      </w:r>
    </w:p>
    <w:p>
      <w:pPr>
        <w:spacing w:after="0" w:line="43" w:lineRule="exact"/>
        <w:rPr>
          <w:sz w:val="24"/>
          <w:szCs w:val="24"/>
          <w:color w:val="auto"/>
        </w:rPr>
      </w:pPr>
    </w:p>
    <w:p>
      <w:pPr>
        <w:sectPr>
          <w:pgSz w:w="11900" w:h="16838" w:orient="portrait"/>
          <w:cols w:equalWidth="0" w:num="2">
            <w:col w:w="8380" w:space="720"/>
            <w:col w:w="2140"/>
          </w:cols>
          <w:pgMar w:left="320" w:top="1222" w:right="33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8300" w:space="720"/>
            <w:col w:w="2220"/>
          </w:cols>
          <w:pgMar w:left="320" w:top="1222" w:right="339" w:bottom="1440" w:gutter="0" w:footer="0" w:header="0"/>
          <w:type w:val="continuous"/>
        </w:sect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7"/>
          <w:szCs w:val="17"/>
          <w:b w:val="1"/>
          <w:bCs w:val="1"/>
          <w:color w:val="auto"/>
        </w:rPr>
        <w:t>(781) 280-4000</w:t>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73660</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1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6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327"/>
        </w:trPr>
        <w:tc>
          <w:tcPr>
            <w:tcW w:w="4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9"/>
        </w:trPr>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80" w:type="dxa"/>
            <w:vAlign w:val="bottom"/>
          </w:tcPr>
          <w:p>
            <w:pPr>
              <w:spacing w:after="0"/>
              <w:rPr>
                <w:sz w:val="18"/>
                <w:szCs w:val="18"/>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PRGS</w:t>
            </w:r>
          </w:p>
        </w:tc>
        <w:tc>
          <w:tcPr>
            <w:tcW w:w="80" w:type="dxa"/>
            <w:vAlign w:val="bottom"/>
          </w:tcPr>
          <w:p>
            <w:pPr>
              <w:spacing w:after="0"/>
              <w:rPr>
                <w:sz w:val="18"/>
                <w:szCs w:val="18"/>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314" w:lineRule="exact"/>
        <w:rPr>
          <w:sz w:val="24"/>
          <w:szCs w:val="24"/>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jc w:val="right"/>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55" w:lineRule="exact"/>
        <w:rPr>
          <w:sz w:val="24"/>
          <w:szCs w:val="24"/>
          <w:color w:val="auto"/>
        </w:rPr>
      </w:pPr>
    </w:p>
    <w:p>
      <w:pPr>
        <w:ind w:right="580"/>
        <w:spacing w:after="0" w:line="26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1076325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Progress Software Corporation (the "Company") is filing this Form 8-K/A as an amendment to the Current Report on Form 8-K filed by the Company with the U.S. Securities and Exchange Commission (the "SEC") on September 22, 2026 (the "Original Filing"). As disclosed in the Original Filing, the Company completed its previously announced purchase of substantially all of the assets and employees of Domo, Inc., a Delaware corporation ("Domo"), excluding Domo's net operating loss carryforwards, and assumption of certain liabilities of Domo on September 22, 2026, pursuant to the terms of that certain Asset Purchase Agreement dated as of July 22, 2026 (the "Purchase Agreement"), by and between the Company and Domo.</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This amendment to the Original Filing is being filed for the purpose of satisfying the Company's obligation to file the financial statements and pro forma financial information relating to the Domo acquisition pursuant to Item 9.01 of Form 8-K. This amendment should be read in conjunction with the Original Filing. Except as set forth herein, no modifications have been made to information contained in the Original Filing, and the Company has not updated any information contained therein to reflect events that have occurred since the date of the Original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Financial Statements of Business Acquired</w:t>
      </w:r>
    </w:p>
    <w:p>
      <w:pPr>
        <w:spacing w:after="0" w:line="254"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Incorporated by reference into this Current Report on Form 8-K/A are: (i) as Exhibit 99.1, the audited consolidated financial statements of Domo as of January 31, 2025 and 2026, and for each of the three fiscal years in the period ended January 31, 2026, together with the notes related thereto and the Report of Independent Registered Public Accounting Firm thereon, and (ii) as Exhibit 99.2, the interim unaudited condensed consolidated financial statements of Domo as of July 31, 2026 and for the three and six months ended July 31, 2026, together with the notes related thereto. Filed herewith as Exhibit 23.1 is the consent of Ernst &amp; Young LLP, independent registered public accounting firm of Domo.</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Pro Forma Financial Information</w:t>
      </w:r>
    </w:p>
    <w:p>
      <w:pPr>
        <w:spacing w:after="0" w:line="2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also filing the unaudited pro forma condensed combined financial information and explanatory notes as of May 31, 2026, and for the six months ended May 31, 2026, and for the year ended November 30, 2025, which give effect to the acquisition of Domo and the financing in respect thereof, as more fully set forth in such pro forma financial information. The unaudited pro forma condensed combined financial information, together with the notes related thereto, are filed as Exhibit 99.3 and are incorporated herein by reference.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5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Description</w:t>
            </w:r>
          </w:p>
        </w:tc>
        <w:tc>
          <w:tcPr>
            <w:tcW w:w="0" w:type="dxa"/>
            <w:vAlign w:val="bottom"/>
          </w:tcPr>
          <w:p>
            <w:pPr>
              <w:spacing w:after="0"/>
              <w:rPr>
                <w:sz w:val="1"/>
                <w:szCs w:val="1"/>
                <w:color w:val="auto"/>
              </w:rPr>
            </w:pPr>
          </w:p>
        </w:tc>
      </w:tr>
      <w:tr>
        <w:trPr>
          <w:trHeight w:val="183"/>
        </w:trPr>
        <w:tc>
          <w:tcPr>
            <w:tcW w:w="11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9900" w:type="dxa"/>
            <w:vAlign w:val="bottom"/>
            <w:tcBorders>
              <w:top w:val="single" w:sz="8" w:color="auto"/>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 of Domo.</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8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gridSpan w:val="11"/>
          </w:tcPr>
          <w:p>
            <w:pPr>
              <w:spacing w:after="0"/>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Audited Consolidated Financial Statements of Domo as of January 31, 2025 and 2026, and for each of the three fiscal years in the period</w:t>
              </w:r>
            </w:hyperlink>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6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ended January 31, 2026, together with the notes related thereto and the Report of Independent Registered Public Accounting Firm</w:t>
              </w:r>
            </w:hyperlink>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80" w:type="dxa"/>
            <w:vAlign w:val="bottom"/>
            <w:shd w:val="clear" w:color="auto" w:fill="0000FF"/>
          </w:tcPr>
          <w:p>
            <w:pPr>
              <w:spacing w:after="0" w:line="20" w:lineRule="exact"/>
              <w:rPr>
                <w:sz w:val="1"/>
                <w:szCs w:val="1"/>
                <w:color w:val="auto"/>
              </w:rPr>
            </w:pPr>
          </w:p>
        </w:tc>
        <w:tc>
          <w:tcPr>
            <w:tcW w:w="1020" w:type="dxa"/>
            <w:vAlign w:val="bottom"/>
            <w:tcBorders>
              <w:right w:val="single" w:sz="8" w:color="0000FF"/>
            </w:tcBorders>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3"/>
                <w:szCs w:val="13"/>
                <w:color w:val="auto"/>
              </w:rPr>
            </w:pPr>
          </w:p>
        </w:tc>
        <w:tc>
          <w:tcPr>
            <w:tcW w:w="9940" w:type="dxa"/>
            <w:vAlign w:val="bottom"/>
            <w:gridSpan w:val="11"/>
          </w:tcPr>
          <w:p>
            <w:pPr>
              <w:spacing w:after="0" w:line="156"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thereon (incorporated by reference to pages 72 through 105 of Domo's Annual Report on Form 10-K for the fiscal year ended January</w:t>
              </w:r>
            </w:hyperlink>
          </w:p>
        </w:tc>
        <w:tc>
          <w:tcPr>
            <w:tcW w:w="0" w:type="dxa"/>
            <w:vAlign w:val="bottom"/>
          </w:tcPr>
          <w:p>
            <w:pPr>
              <w:spacing w:after="0"/>
              <w:rPr>
                <w:sz w:val="1"/>
                <w:szCs w:val="1"/>
                <w:color w:val="auto"/>
              </w:rPr>
            </w:pPr>
          </w:p>
        </w:tc>
      </w:tr>
      <w:tr>
        <w:trPr>
          <w:trHeight w:val="169"/>
        </w:trPr>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640" w:type="dxa"/>
            <w:vAlign w:val="bottom"/>
            <w:tcBorders>
              <w:top w:val="single" w:sz="8" w:color="0000FF"/>
            </w:tcBorders>
            <w:gridSpan w:val="6"/>
          </w:tcPr>
          <w:p>
            <w:pPr>
              <w:spacing w:after="0" w:line="169" w:lineRule="exact"/>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0000FF"/>
                </w:rPr>
                <w:t>31, 2026 (SEC File No. 001-38553), filed with the SEC on April 16, 2026.</w:t>
              </w:r>
            </w:hyperlink>
          </w:p>
        </w:tc>
        <w:tc>
          <w:tcPr>
            <w:tcW w:w="6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40" w:type="dxa"/>
            <w:vAlign w:val="bottom"/>
            <w:gridSpan w:val="11"/>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Unaudited Condensed Consolidated Financial Statements of Domo as of July 31, 2026 and for the three and six months ended July 31,</w:t>
              </w:r>
            </w:hyperlink>
          </w:p>
        </w:tc>
        <w:tc>
          <w:tcPr>
            <w:tcW w:w="0" w:type="dxa"/>
            <w:vAlign w:val="bottom"/>
          </w:tcPr>
          <w:p>
            <w:pPr>
              <w:spacing w:after="0"/>
              <w:rPr>
                <w:sz w:val="1"/>
                <w:szCs w:val="1"/>
                <w:color w:val="auto"/>
              </w:rPr>
            </w:pPr>
          </w:p>
        </w:tc>
      </w:tr>
      <w:tr>
        <w:trPr>
          <w:trHeight w:val="155"/>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3"/>
                <w:szCs w:val="13"/>
                <w:color w:val="auto"/>
              </w:rPr>
            </w:pPr>
          </w:p>
        </w:tc>
        <w:tc>
          <w:tcPr>
            <w:tcW w:w="970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5">
              <w:r>
                <w:rPr>
                  <w:rFonts w:ascii="Times New Roman" w:cs="Times New Roman" w:eastAsia="Times New Roman" w:hAnsi="Times New Roman"/>
                  <w:sz w:val="18"/>
                  <w:szCs w:val="18"/>
                  <w:color w:val="0000FF"/>
                  <w:w w:val="99"/>
                </w:rPr>
                <w:t>2026, together with the notes related thereto (incorporated by reference to pages 1 through 33 of Domo's Quarterly Report on Form 10</w:t>
              </w:r>
            </w:hyperlink>
          </w:p>
        </w:tc>
        <w:tc>
          <w:tcPr>
            <w:tcW w:w="240" w:type="dxa"/>
            <w:vAlign w:val="bottom"/>
            <w:gridSpan w:val="4"/>
          </w:tcPr>
          <w:p>
            <w:pPr>
              <w:spacing w:after="0" w:line="156"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-Q</w:t>
              </w:r>
            </w:hyperlink>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7860" w:type="dxa"/>
            <w:vAlign w:val="bottom"/>
            <w:tcBorders>
              <w:top w:val="single" w:sz="8" w:color="0000FF"/>
              <w:bottom w:val="single" w:sz="8" w:color="0000FF"/>
            </w:tcBorders>
            <w:gridSpan w:val="3"/>
          </w:tcPr>
          <w:p>
            <w:pPr>
              <w:spacing w:after="0" w:line="142" w:lineRule="exact"/>
              <w:rPr>
                <w:rFonts w:ascii="Times New Roman" w:cs="Times New Roman" w:eastAsia="Times New Roman" w:hAnsi="Times New Roman"/>
                <w:sz w:val="16"/>
                <w:szCs w:val="16"/>
                <w:color w:val="0000FF"/>
              </w:rPr>
            </w:pPr>
            <w:hyperlink r:id="rId15">
              <w:r>
                <w:rPr>
                  <w:rFonts w:ascii="Times New Roman" w:cs="Times New Roman" w:eastAsia="Times New Roman" w:hAnsi="Times New Roman"/>
                  <w:sz w:val="16"/>
                  <w:szCs w:val="16"/>
                  <w:color w:val="0000FF"/>
                </w:rPr>
                <w:t>for the six months ended July 31, 2026 (SEC File No. 001-38553), filed with the SEC on September 3, 2026.</w:t>
              </w:r>
            </w:hyperlink>
          </w:p>
        </w:tc>
        <w:tc>
          <w:tcPr>
            <w:tcW w:w="1720" w:type="dxa"/>
            <w:vAlign w:val="bottom"/>
            <w:tcBorders>
              <w:top w:val="single" w:sz="8" w:color="0000FF"/>
            </w:tcBorders>
            <w:gridSpan w:val="2"/>
          </w:tcPr>
          <w:p>
            <w:pPr>
              <w:spacing w:after="0"/>
              <w:rPr>
                <w:sz w:val="13"/>
                <w:szCs w:val="13"/>
                <w:color w:val="auto"/>
              </w:rPr>
            </w:pPr>
          </w:p>
        </w:tc>
        <w:tc>
          <w:tcPr>
            <w:tcW w:w="300" w:type="dxa"/>
            <w:vAlign w:val="bottom"/>
            <w:tcBorders>
              <w:top w:val="single" w:sz="8" w:color="0000FF"/>
            </w:tcBorders>
            <w:gridSpan w:val="4"/>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99.3</w:t>
            </w:r>
          </w:p>
        </w:tc>
        <w:tc>
          <w:tcPr>
            <w:tcW w:w="120" w:type="dxa"/>
            <w:vAlign w:val="bottom"/>
          </w:tcPr>
          <w:p>
            <w:pPr>
              <w:spacing w:after="0"/>
              <w:rPr>
                <w:sz w:val="19"/>
                <w:szCs w:val="19"/>
                <w:color w:val="auto"/>
              </w:rPr>
            </w:pPr>
          </w:p>
        </w:tc>
        <w:tc>
          <w:tcPr>
            <w:tcW w:w="99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Unaudited Pro Forma Condensed Combined Financial Information of Progress Software Corporation and Domo as of May 31, 2026,</w:t>
            </w:r>
          </w:p>
        </w:tc>
        <w:tc>
          <w:tcPr>
            <w:tcW w:w="0" w:type="dxa"/>
            <w:vAlign w:val="bottom"/>
          </w:tcPr>
          <w:p>
            <w:pPr>
              <w:spacing w:after="0"/>
              <w:rPr>
                <w:sz w:val="1"/>
                <w:szCs w:val="1"/>
                <w:color w:val="auto"/>
              </w:rPr>
            </w:pPr>
          </w:p>
        </w:tc>
      </w:tr>
      <w:tr>
        <w:trPr>
          <w:trHeight w:val="155"/>
        </w:trPr>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58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and for the six months ended May 31, 2026, and for the year ended November 30, 2025.</w:t>
            </w:r>
          </w:p>
        </w:tc>
        <w:tc>
          <w:tcPr>
            <w:tcW w:w="3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2"/>
                <w:szCs w:val="22"/>
                <w:color w:val="auto"/>
              </w:rPr>
            </w:pPr>
          </w:p>
        </w:tc>
        <w:tc>
          <w:tcPr>
            <w:tcW w:w="64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354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965"/>
        </w:trPr>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660" w:val="left"/>
          <w:tab w:leader="none" w:pos="6260" w:val="left"/>
        </w:tabs>
        <w:rPr>
          <w:sz w:val="20"/>
          <w:szCs w:val="20"/>
          <w:color w:val="auto"/>
        </w:rPr>
      </w:pPr>
      <w:r>
        <w:rPr>
          <w:rFonts w:ascii="Times New Roman" w:cs="Times New Roman" w:eastAsia="Times New Roman" w:hAnsi="Times New Roman"/>
          <w:sz w:val="18"/>
          <w:szCs w:val="18"/>
          <w:color w:val="auto"/>
        </w:rPr>
        <w:t>Date:</w:t>
        <w:tab/>
        <w:t>October 29, 2026</w:t>
      </w:r>
      <w:r>
        <w:rPr>
          <w:sz w:val="20"/>
          <w:szCs w:val="20"/>
          <w:color w:val="auto"/>
        </w:rPr>
        <w:tab/>
      </w:r>
      <w:r>
        <w:rPr>
          <w:rFonts w:ascii="Times New Roman" w:cs="Times New Roman" w:eastAsia="Times New Roman" w:hAnsi="Times New Roman"/>
          <w:sz w:val="17"/>
          <w:szCs w:val="17"/>
          <w:color w:val="auto"/>
        </w:rPr>
        <w:t>Progress Software Corporation</w:t>
      </w:r>
    </w:p>
    <w:p>
      <w:pPr>
        <w:spacing w:after="0" w:line="293" w:lineRule="exact"/>
        <w:rPr>
          <w:sz w:val="20"/>
          <w:szCs w:val="20"/>
          <w:color w:val="auto"/>
        </w:rPr>
      </w:pPr>
    </w:p>
    <w:p>
      <w:pPr>
        <w:ind w:left="628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YUFAN STEPHANIE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768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YuFan Stephanie Wang</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333-286265 on Form S-3 and Registration Statement Nos. 333-41393, 333-41401, 333-41403, 333-80559, 333-80571, 333-98035, 333-101239, 333-122962, 333-150555, 333-257519, 333-275707, 333-280735, and 333-297163 on Form S-8 of Progress Software Corporation of our reports dated April 15, 2026, relating to the consolidated financial statements of Domo, Inc. as of January 31, 2025 and 2026, and for each of the three years in the period ended January 31, 2026, and the effectiveness of internal control over financial reporting of Domo, Inc. as of January 31, 2026, appearing in this Current Report on Form 8-K/A of Progress Software Corporation.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2026</w:t>
      </w:r>
    </w:p>
    <w:p>
      <w:pPr>
        <w:sectPr>
          <w:pgSz w:w="11900" w:h="16838" w:orient="portrait"/>
          <w:cols w:equalWidth="0" w:num="1">
            <w:col w:w="11240"/>
          </w:cols>
          <w:pgMar w:left="320" w:top="88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56"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On July 22, 2026, Progress Software Corporation ("Progress" or the "Company") and Domo, Inc. ("Domo") entered into a definitive agreement (the "Purchase Agreement") for the purchase by Progress of substantially all of the assets and employees of Domo, excluding Domo’s net operating loss carryforwards, and assumption of certain liabilities of Domo. The transaction between Progress and Domo closed on September 22, 2026 for a base purchase price of $400.0 million, subject to certain customary adjustments as further described in the Purchase Agreement (the "Purchase Price"), and funded through $390.0 million in borrowings under an existing $1.5 billion revolving credit facility and cash on hand, resulting in total purchase consideration of $403.2 million (the "Acquisition"). The following unaudited pro forma condensed combined financial statements of Progress and Domo have been prepared to give effect to the Acquisition of Domo by the Company.</w:t>
      </w:r>
    </w:p>
    <w:p>
      <w:pPr>
        <w:spacing w:after="0" w:line="21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Progress and Domo had different fiscal years. As such, the following unaudited pro forma condensed combined financial information is based on: (i) the unaudited historical condensed consolidated financial information of Progress and Domo as of and for the six months ended May 31, 2026 and July 31, 2026, respectively; and (ii) the audited historical consolidated financial information of Progress and Domo for the fiscal years ended November 30, 2025 and January 31, 2026, respectively. The unaudited pro forma condensed combined statements of operations for the six months ended May 31, 2026 and for the year ended November 30, 2025 have been prepared to reflect the Acquisition as though it occurred on December 1, 2024, including the related financing. The unaudited pro forma condensed combined balance sheet as of May 31, 2026 has been prepared to reflect the Acquisition as though it occurred on May 31, 2026, including the related financing.</w:t>
      </w:r>
    </w:p>
    <w:p>
      <w:pPr>
        <w:spacing w:after="0" w:line="21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Acquisition has been accounted for by using the acquisition method of accounting for the business combination. Accordingly, consideration paid by the Company to complete the Acquisition was allocated to Domo's assets and liabilities based upon their estimated fair values as of the date of completion of the Acquisition. The pro forma purchase price adjustments are preliminary, subject to further adjustments as additional information becomes available along with the completion of the purchase price allocation and as additional analyses are performed, and have been made solely for the purpose of providing the pro forma financial information presented below. The unaudited pro forma condensed combined financial information does not reflect any adjustment for costs of, or related liabilities for, any integration and similar activities, or benefits, including potential synergies that may be derived in future periods, from the Acquisition.</w:t>
      </w:r>
    </w:p>
    <w:p>
      <w:pPr>
        <w:spacing w:after="0" w:line="202"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is provided for illustrative purposes only and does not purport to represent what the actual combined results of operations or the combined financial position of the combined company would have been had the Acquisition and related financing occurred on the dates assumed, nor is the pro forma condensed combined financial information necessarily indicative of future combined results of operations or combined financial position. The unaudited pro forma condensed combined financial information is based upon available information and certain assumptions that the Company believes are reasonable, as described in the accompanying notes that should be read in conjunction with the pro forma condensed combined financial information. The actual financial position and results of operations may differ significantly from the pro forma amounts reflected herein due to a variety of factors.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Balance Sheet has been compiled from and should be read in conjunction with the following sources:</w:t>
      </w:r>
    </w:p>
    <w:p>
      <w:pPr>
        <w:spacing w:after="0" w:line="239" w:lineRule="exact"/>
        <w:rPr>
          <w:sz w:val="20"/>
          <w:szCs w:val="20"/>
          <w:color w:val="auto"/>
        </w:rPr>
      </w:pPr>
    </w:p>
    <w:p>
      <w:pPr>
        <w:ind w:left="660" w:right="80" w:hanging="328"/>
        <w:spacing w:after="0" w:line="245"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for Progress has been prepared in accordance with United States Generally Accepted Accounting Principles ("U.S. GAAP") and extracted without adjustment from the Company's unaudited condensed consolidated balance sheet as of May 31, 2026, contained in the Company's Quarterly Report on Form 10-Q for the period ended May 31, 2026 filed with the Securities and Exchange Commission ("SEC") on June 30, 2026.</w:t>
      </w:r>
    </w:p>
    <w:p>
      <w:pPr>
        <w:spacing w:after="0" w:line="22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for Domo has been prepared in accordance with U.S. GAAP and extracted without adjustment from Domo's unaudited condensed consolidated balance sheet as of July 31, 2026, contained in Domo's Quarterly Report on Form 10-Q for the period ended July 31, 2026 filed with the SEC on September 3, 2026.</w:t>
      </w:r>
    </w:p>
    <w:p>
      <w:pPr>
        <w:spacing w:after="0" w:line="20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have been compiled from and should be read in conjunction with the following sources:</w:t>
      </w:r>
    </w:p>
    <w:p>
      <w:pPr>
        <w:spacing w:after="0" w:line="189" w:lineRule="exact"/>
        <w:rPr>
          <w:sz w:val="20"/>
          <w:szCs w:val="20"/>
          <w:color w:val="auto"/>
        </w:rPr>
      </w:pPr>
    </w:p>
    <w:p>
      <w:pPr>
        <w:ind w:left="660" w:right="12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for Progress has been prepared in accordance with U.S. GAAP and extracted without adjustment from: (i) the Company's unaudited condensed consolidated statement of operations for the six-month period ended May 31, 2026, contained in the Company's Quarterly Report on Form 10-Q filed with the SEC on June 30, 2026 and; (ii) the Company's audited consolidated statement of operations for the fiscal year ended November 30, 2025, contained in the Company's Annual Report on Form 10-K filed with the SEC on January 20,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765" w:right="339" w:bottom="1440" w:gutter="0" w:footer="0" w:header="0"/>
        </w:sectPr>
      </w:pPr>
    </w:p>
    <w:bookmarkStart w:id="5" w:name="page6"/>
    <w:bookmarkEnd w:id="5"/>
    <w:p>
      <w:pPr>
        <w:ind w:left="660" w:hanging="328"/>
        <w:spacing w:after="0" w:line="24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for Domo has been prepared in accordance with U.S. GAAP and extracted without adjustment from: (i) Domo's unaudited condensed consolidated statement of operations for the six-month period ended July 31, 2026, contained in Domo's Quarterly Report on Form 10-Q filed with the SEC on September 3, 2026 and; (ii) Domo's audited consolidated statement of operations for the fiscal year ended January 31, 2026, contained in the company's Annual Report on Form 10-K filed with the SEC on April 16,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00"/>
          </w:cols>
          <w:pgMar w:left="320" w:top="756"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May 31, 2026</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5"/>
          </w:tcPr>
          <w:p>
            <w:pPr>
              <w:ind w:left="720"/>
              <w:spacing w:after="0"/>
              <w:rPr>
                <w:sz w:val="20"/>
                <w:szCs w:val="20"/>
                <w:color w:val="auto"/>
              </w:rPr>
            </w:pPr>
            <w:r>
              <w:rPr>
                <w:rFonts w:ascii="Times New Roman" w:cs="Times New Roman" w:eastAsia="Times New Roman" w:hAnsi="Times New Roman"/>
                <w:sz w:val="16"/>
                <w:szCs w:val="16"/>
                <w:b w:val="1"/>
                <w:bCs w:val="1"/>
                <w:color w:val="auto"/>
              </w:rPr>
              <w:t>Historical (unaudited)</w:t>
            </w: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center"/>
              <w:ind w:right="19"/>
              <w:spacing w:after="0" w:line="161" w:lineRule="exact"/>
              <w:rPr>
                <w:sz w:val="20"/>
                <w:szCs w:val="20"/>
                <w:color w:val="auto"/>
              </w:rPr>
            </w:pPr>
            <w:r>
              <w:rPr>
                <w:rFonts w:ascii="Times New Roman" w:cs="Times New Roman" w:eastAsia="Times New Roman" w:hAnsi="Times New Roman"/>
                <w:sz w:val="16"/>
                <w:szCs w:val="16"/>
                <w:b w:val="1"/>
                <w:bCs w:val="1"/>
                <w:color w:val="auto"/>
              </w:rPr>
              <w:t>Domo</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Transaction</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center"/>
              <w:ind w:right="19"/>
              <w:spacing w:after="0" w:line="161"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54"/>
        </w:trPr>
        <w:tc>
          <w:tcPr>
            <w:tcW w:w="3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Progress</w:t>
            </w:r>
          </w:p>
        </w:tc>
        <w:tc>
          <w:tcPr>
            <w:tcW w:w="14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140" w:type="dxa"/>
            <w:vAlign w:val="bottom"/>
            <w:vMerge w:val="restart"/>
          </w:tcPr>
          <w:p>
            <w:pPr>
              <w:spacing w:after="0"/>
              <w:rPr>
                <w:sz w:val="4"/>
                <w:szCs w:val="4"/>
                <w:color w:val="auto"/>
              </w:rPr>
            </w:pPr>
          </w:p>
        </w:tc>
        <w:tc>
          <w:tcPr>
            <w:tcW w:w="16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Accounting and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May 31, 2026</w:t>
            </w:r>
          </w:p>
        </w:tc>
        <w:tc>
          <w:tcPr>
            <w:tcW w:w="100" w:type="dxa"/>
            <w:vAlign w:val="bottom"/>
          </w:tcPr>
          <w:p>
            <w:pPr>
              <w:spacing w:after="0"/>
              <w:rPr>
                <w:sz w:val="12"/>
                <w:szCs w:val="12"/>
                <w:color w:val="auto"/>
              </w:rPr>
            </w:pPr>
          </w:p>
        </w:tc>
        <w:tc>
          <w:tcPr>
            <w:tcW w:w="15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As of July 31, 2026</w:t>
            </w:r>
          </w:p>
        </w:tc>
        <w:tc>
          <w:tcPr>
            <w:tcW w:w="160" w:type="dxa"/>
            <w:vAlign w:val="bottom"/>
          </w:tcPr>
          <w:p>
            <w:pPr>
              <w:spacing w:after="0"/>
              <w:rPr>
                <w:sz w:val="12"/>
                <w:szCs w:val="12"/>
                <w:color w:val="auto"/>
              </w:rPr>
            </w:pPr>
          </w:p>
        </w:tc>
        <w:tc>
          <w:tcPr>
            <w:tcW w:w="1360" w:type="dxa"/>
            <w:vAlign w:val="bottom"/>
          </w:tcPr>
          <w:p>
            <w:pPr>
              <w:jc w:val="center"/>
              <w:ind w:right="59"/>
              <w:spacing w:after="0" w:line="142" w:lineRule="exact"/>
              <w:rPr>
                <w:sz w:val="20"/>
                <w:szCs w:val="20"/>
                <w:color w:val="auto"/>
              </w:rPr>
            </w:pPr>
            <w:r>
              <w:rPr>
                <w:rFonts w:ascii="Times New Roman" w:cs="Times New Roman" w:eastAsia="Times New Roman" w:hAnsi="Times New Roman"/>
                <w:sz w:val="16"/>
                <w:szCs w:val="16"/>
                <w:b w:val="1"/>
                <w:bCs w:val="1"/>
                <w:color w:val="auto"/>
              </w:rPr>
              <w:t>Financing</w:t>
            </w:r>
          </w:p>
        </w:tc>
        <w:tc>
          <w:tcPr>
            <w:tcW w:w="100" w:type="dxa"/>
            <w:vAlign w:val="bottom"/>
          </w:tcPr>
          <w:p>
            <w:pPr>
              <w:spacing w:after="0"/>
              <w:rPr>
                <w:sz w:val="12"/>
                <w:szCs w:val="12"/>
                <w:color w:val="auto"/>
              </w:rPr>
            </w:pPr>
          </w:p>
        </w:tc>
        <w:tc>
          <w:tcPr>
            <w:tcW w:w="9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00" w:type="dxa"/>
            <w:vAlign w:val="bottom"/>
          </w:tcPr>
          <w:p>
            <w:pPr>
              <w:spacing w:after="0"/>
              <w:rPr>
                <w:sz w:val="12"/>
                <w:szCs w:val="12"/>
                <w:color w:val="auto"/>
              </w:rPr>
            </w:pPr>
          </w:p>
        </w:tc>
        <w:tc>
          <w:tcPr>
            <w:tcW w:w="142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of May 31, 2026</w:t>
            </w: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10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90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102,978</w:t>
            </w:r>
          </w:p>
        </w:tc>
        <w:tc>
          <w:tcPr>
            <w:tcW w:w="14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25,071</w:t>
            </w:r>
          </w:p>
        </w:tc>
        <w:tc>
          <w:tcPr>
            <w:tcW w:w="14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(24,479)</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4(a), 4(b),</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103,570</w:t>
            </w:r>
          </w:p>
        </w:tc>
        <w:tc>
          <w:tcPr>
            <w:tcW w:w="0" w:type="dxa"/>
            <w:vAlign w:val="bottom"/>
          </w:tcPr>
          <w:p>
            <w:pPr>
              <w:spacing w:after="0"/>
              <w:rPr>
                <w:sz w:val="1"/>
                <w:szCs w:val="1"/>
                <w:color w:val="auto"/>
              </w:rPr>
            </w:pPr>
          </w:p>
        </w:tc>
      </w:tr>
      <w:tr>
        <w:trPr>
          <w:trHeight w:val="198"/>
        </w:trPr>
        <w:tc>
          <w:tcPr>
            <w:tcW w:w="3900" w:type="dxa"/>
            <w:vAlign w:val="bottom"/>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4(c)</w:t>
            </w:r>
          </w:p>
        </w:tc>
        <w:tc>
          <w:tcPr>
            <w:tcW w:w="10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125,209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169,211</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Unbilled receivables, current portion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51,297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54,858</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57,018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27,047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(18,946)</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4(a), 4(d)</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65,119</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336,502</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99,681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(43,425)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392,758</w:t>
            </w:r>
          </w:p>
        </w:tc>
        <w:tc>
          <w:tcPr>
            <w:tcW w:w="0" w:type="dxa"/>
            <w:vAlign w:val="bottom"/>
          </w:tcPr>
          <w:p>
            <w:pPr>
              <w:spacing w:after="0"/>
              <w:rPr>
                <w:sz w:val="1"/>
                <w:szCs w:val="1"/>
                <w:color w:val="auto"/>
              </w:rPr>
            </w:pPr>
          </w:p>
        </w:tc>
      </w:tr>
      <w:tr>
        <w:trPr>
          <w:trHeight w:val="20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Unbilled receivables, non-current portion</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44,139</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14,938</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(26,008)</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4(a), 4(e)</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16,514</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514,579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301,105</w:t>
            </w: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4(a), 4(f)</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817,079</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1,309,750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159,316</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4(g), 4(h)</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1,478,544</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lease assets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4(a)</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38,980</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78,300</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35,087</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4(i)</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113,387</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15,889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28,654</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(26,817)</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4(a), 4(d)</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17,726</w:t>
            </w:r>
          </w:p>
        </w:tc>
        <w:tc>
          <w:tcPr>
            <w:tcW w:w="0" w:type="dxa"/>
            <w:vAlign w:val="bottom"/>
          </w:tcPr>
          <w:p>
            <w:pPr>
              <w:spacing w:after="0"/>
              <w:rPr>
                <w:sz w:val="1"/>
                <w:szCs w:val="1"/>
                <w:color w:val="auto"/>
              </w:rPr>
            </w:pPr>
          </w:p>
        </w:tc>
      </w:tr>
      <w:tr>
        <w:trPr>
          <w:trHeight w:val="235"/>
        </w:trPr>
        <w:tc>
          <w:tcPr>
            <w:tcW w:w="39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2,345,623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174,966</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398,538</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2,919,127</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11,189</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4(a)</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21,034</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revenue, current portion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324,469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142,971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467,440</w:t>
            </w:r>
          </w:p>
        </w:tc>
        <w:tc>
          <w:tcPr>
            <w:tcW w:w="0" w:type="dxa"/>
            <w:vAlign w:val="bottom"/>
          </w:tcPr>
          <w:p>
            <w:pPr>
              <w:spacing w:after="0"/>
              <w:rPr>
                <w:sz w:val="1"/>
                <w:szCs w:val="1"/>
                <w:color w:val="auto"/>
              </w:rPr>
            </w:pP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Warranty liability</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4(a)</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137,240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(137,240)</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4(a)</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compensation and related payroll taxes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(12,038)</w:t>
            </w: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4(a)</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55,598</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 liabilities, current portion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6,979</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4(a)</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14,759</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24,787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27,908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(8,665)</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4(a)</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44,030</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416,035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353,603</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(166,777)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602,861</w:t>
            </w:r>
          </w:p>
        </w:tc>
        <w:tc>
          <w:tcPr>
            <w:tcW w:w="0" w:type="dxa"/>
            <w:vAlign w:val="bottom"/>
          </w:tcPr>
          <w:p>
            <w:pPr>
              <w:spacing w:after="0"/>
              <w:rPr>
                <w:sz w:val="1"/>
                <w:szCs w:val="1"/>
                <w:color w:val="auto"/>
              </w:rPr>
            </w:pPr>
          </w:p>
        </w:tc>
      </w:tr>
      <w:tr>
        <w:trPr>
          <w:trHeight w:val="207"/>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non-current portion</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98,756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101,981</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Convertible senior notes, non-current portion, net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442,147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442,147</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390,000</w:t>
            </w: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4(c)</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1,240,000</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non-current portion</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26,467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4(a)</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28,697</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4(a)</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6,938</w:t>
            </w: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Preferred stock</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Common stock</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Class A common stock</w:t>
            </w: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4(j)</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Class B common stock</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4(j)</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1,382,575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(1,382,575)</w:t>
            </w:r>
          </w:p>
        </w:tc>
        <w:tc>
          <w:tcPr>
            <w:tcW w:w="100" w:type="dxa"/>
            <w:vAlign w:val="bottom"/>
          </w:tcPr>
          <w:p>
            <w:pPr>
              <w:spacing w:after="0"/>
              <w:rPr>
                <w:sz w:val="18"/>
                <w:szCs w:val="18"/>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4(j)</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415,630</w:t>
            </w:r>
          </w:p>
        </w:tc>
        <w:tc>
          <w:tcPr>
            <w:tcW w:w="0" w:type="dxa"/>
            <w:vAlign w:val="bottom"/>
          </w:tcPr>
          <w:p>
            <w:pPr>
              <w:spacing w:after="0"/>
              <w:rPr>
                <w:sz w:val="1"/>
                <w:szCs w:val="1"/>
                <w:color w:val="auto"/>
              </w:rPr>
            </w:pPr>
          </w:p>
        </w:tc>
      </w:tr>
      <w:tr>
        <w:trPr>
          <w:trHeight w:val="219"/>
        </w:trPr>
        <w:tc>
          <w:tcPr>
            <w:tcW w:w="3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(1,570,667)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1,559,937</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4(b), 4(j)</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113,684</w:t>
            </w:r>
          </w:p>
        </w:tc>
        <w:tc>
          <w:tcPr>
            <w:tcW w:w="0" w:type="dxa"/>
            <w:vAlign w:val="bottom"/>
          </w:tcPr>
          <w:p>
            <w:pPr>
              <w:spacing w:after="0"/>
              <w:rPr>
                <w:sz w:val="1"/>
                <w:szCs w:val="1"/>
                <w:color w:val="auto"/>
              </w:rPr>
            </w:pPr>
          </w:p>
        </w:tc>
      </w:tr>
      <w:tr>
        <w:trPr>
          <w:trHeight w:val="213"/>
        </w:trPr>
        <w:tc>
          <w:tcPr>
            <w:tcW w:w="39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(34,374)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4(j)</w:t>
            </w: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(34,374)</w:t>
            </w:r>
          </w:p>
        </w:tc>
        <w:tc>
          <w:tcPr>
            <w:tcW w:w="0" w:type="dxa"/>
            <w:vAlign w:val="bottom"/>
          </w:tcPr>
          <w:p>
            <w:pPr>
              <w:spacing w:after="0"/>
              <w:rPr>
                <w:sz w:val="1"/>
                <w:szCs w:val="1"/>
                <w:color w:val="auto"/>
              </w:rPr>
            </w:pPr>
          </w:p>
        </w:tc>
      </w:tr>
      <w:tr>
        <w:trPr>
          <w:trHeight w:val="212"/>
        </w:trPr>
        <w:tc>
          <w:tcPr>
            <w:tcW w:w="39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506,083</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(187,308)</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176,578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495,353</w:t>
            </w:r>
          </w:p>
        </w:tc>
        <w:tc>
          <w:tcPr>
            <w:tcW w:w="0" w:type="dxa"/>
            <w:vAlign w:val="bottom"/>
          </w:tcPr>
          <w:p>
            <w:pPr>
              <w:spacing w:after="0"/>
              <w:rPr>
                <w:sz w:val="1"/>
                <w:szCs w:val="1"/>
                <w:color w:val="auto"/>
              </w:rPr>
            </w:pPr>
          </w:p>
        </w:tc>
      </w:tr>
      <w:tr>
        <w:trPr>
          <w:trHeight w:val="207"/>
        </w:trPr>
        <w:tc>
          <w:tcPr>
            <w:tcW w:w="39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2,345,623</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174,966</w:t>
            </w: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398,538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2,919,127</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Unaudited Pro Forma Condensed Combined Financial Information.</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765"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May 31, 2026</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Historical (unaudited)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Progress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vMerge w:val="restart"/>
          </w:tcPr>
          <w:p>
            <w:pPr>
              <w:jc w:val="center"/>
              <w:ind w:right="239"/>
              <w:spacing w:after="0"/>
              <w:rPr>
                <w:sz w:val="20"/>
                <w:szCs w:val="20"/>
                <w:color w:val="auto"/>
              </w:rPr>
            </w:pPr>
            <w:r>
              <w:rPr>
                <w:rFonts w:ascii="Times New Roman" w:cs="Times New Roman" w:eastAsia="Times New Roman" w:hAnsi="Times New Roman"/>
                <w:sz w:val="16"/>
                <w:szCs w:val="16"/>
                <w:b w:val="1"/>
                <w:bCs w:val="1"/>
                <w:color w:val="auto"/>
              </w:rPr>
              <w:t>Domo</w:t>
            </w:r>
          </w:p>
        </w:tc>
        <w:tc>
          <w:tcPr>
            <w:tcW w:w="1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6"/>
                <w:szCs w:val="16"/>
                <w:b w:val="1"/>
                <w:bCs w:val="1"/>
                <w:color w:val="auto"/>
                <w:w w:val="98"/>
              </w:rPr>
              <w:t>Pro Forma</w:t>
            </w:r>
          </w:p>
        </w:tc>
        <w:tc>
          <w:tcPr>
            <w:tcW w:w="0" w:type="dxa"/>
            <w:vAlign w:val="bottom"/>
          </w:tcPr>
          <w:p>
            <w:pPr>
              <w:spacing w:after="0"/>
              <w:rPr>
                <w:sz w:val="1"/>
                <w:szCs w:val="1"/>
                <w:color w:val="auto"/>
              </w:rPr>
            </w:pPr>
          </w:p>
        </w:tc>
      </w:tr>
      <w:tr>
        <w:trPr>
          <w:trHeight w:val="212"/>
        </w:trPr>
        <w:tc>
          <w:tcPr>
            <w:tcW w:w="39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79"/>
              <w:spacing w:after="0" w:line="146" w:lineRule="exact"/>
              <w:rPr>
                <w:sz w:val="20"/>
                <w:szCs w:val="20"/>
                <w:color w:val="auto"/>
              </w:rPr>
            </w:pPr>
            <w:r>
              <w:rPr>
                <w:rFonts w:ascii="Times New Roman" w:cs="Times New Roman" w:eastAsia="Times New Roman" w:hAnsi="Times New Roman"/>
                <w:sz w:val="16"/>
                <w:szCs w:val="16"/>
                <w:b w:val="1"/>
                <w:bCs w:val="1"/>
                <w:color w:val="auto"/>
              </w:rPr>
              <w:t>Transaction</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6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160" w:type="dxa"/>
            <w:vAlign w:val="bottom"/>
          </w:tcPr>
          <w:p>
            <w:pPr>
              <w:spacing w:after="0"/>
              <w:rPr>
                <w:sz w:val="14"/>
                <w:szCs w:val="14"/>
                <w:color w:val="auto"/>
              </w:rPr>
            </w:pPr>
          </w:p>
        </w:tc>
        <w:tc>
          <w:tcPr>
            <w:tcW w:w="13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Accounting and</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Six Months</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Ended May 31,</w:t>
            </w:r>
          </w:p>
        </w:tc>
        <w:tc>
          <w:tcPr>
            <w:tcW w:w="16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Financing</w:t>
            </w:r>
          </w:p>
        </w:tc>
        <w:tc>
          <w:tcPr>
            <w:tcW w:w="140" w:type="dxa"/>
            <w:vAlign w:val="bottom"/>
          </w:tcPr>
          <w:p>
            <w:pPr>
              <w:spacing w:after="0"/>
              <w:rPr>
                <w:sz w:val="14"/>
                <w:szCs w:val="14"/>
                <w:color w:val="auto"/>
              </w:rPr>
            </w:pP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20" w:type="dxa"/>
            <w:vAlign w:val="bottom"/>
          </w:tcPr>
          <w:p>
            <w:pPr>
              <w:spacing w:after="0"/>
              <w:rPr>
                <w:sz w:val="18"/>
                <w:szCs w:val="18"/>
                <w:color w:val="auto"/>
              </w:rPr>
            </w:pPr>
          </w:p>
        </w:tc>
        <w:tc>
          <w:tcPr>
            <w:tcW w:w="12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Pr>
          <w:p>
            <w:pPr>
              <w:spacing w:after="0"/>
              <w:rPr>
                <w:sz w:val="18"/>
                <w:szCs w:val="18"/>
                <w:color w:val="auto"/>
              </w:rPr>
            </w:pP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Ended July 31, 2026</w:t>
            </w:r>
          </w:p>
        </w:tc>
        <w:tc>
          <w:tcPr>
            <w:tcW w:w="160" w:type="dxa"/>
            <w:vAlign w:val="bottom"/>
          </w:tcPr>
          <w:p>
            <w:pPr>
              <w:spacing w:after="0"/>
              <w:rPr>
                <w:sz w:val="18"/>
                <w:szCs w:val="18"/>
                <w:color w:val="auto"/>
              </w:rPr>
            </w:pPr>
          </w:p>
        </w:tc>
        <w:tc>
          <w:tcPr>
            <w:tcW w:w="13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Ended May 31, 2026</w:t>
            </w:r>
          </w:p>
        </w:tc>
        <w:tc>
          <w:tcPr>
            <w:tcW w:w="0" w:type="dxa"/>
            <w:vAlign w:val="bottom"/>
          </w:tcPr>
          <w:p>
            <w:pPr>
              <w:spacing w:after="0"/>
              <w:rPr>
                <w:sz w:val="1"/>
                <w:szCs w:val="1"/>
                <w:color w:val="auto"/>
              </w:rPr>
            </w:pPr>
          </w:p>
        </w:tc>
      </w:tr>
      <w:tr>
        <w:trPr>
          <w:trHeight w:val="19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Software licenses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136,560</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136,560</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Maintenance, SaaS, and professional services</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364,704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156,186</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520,890</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501,264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156,186</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657,450</w:t>
            </w: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of revenue:</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Cost of software licenses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6,688</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maintenance, SaaS, and professional services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64,359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38,420</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4(l)</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99,049</w:t>
            </w: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17,689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10,300</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4(f)</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27,989</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costs of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88,736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6,570</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133,726</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412,528</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117,766</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(6,570)</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523,724</w:t>
            </w: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106,338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(10,213)</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4(k), 4(m)</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162,573</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Product development</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36,407</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135,721</w:t>
            </w: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4(f)</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86,727</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19,950</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4(f)</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71,734</w:t>
            </w: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Cyber vulnerability response expenses, net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2,624</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Restructuring expenses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320,861</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131,120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9,459</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461,440</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91,667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(16,029)</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62,284</w:t>
            </w: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Remeasurement of warrant liability</w:t>
            </w:r>
          </w:p>
        </w:tc>
        <w:tc>
          <w:tcPr>
            <w:tcW w:w="12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4(m)</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(31,157)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(12,272)</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4(c), 4(m)</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(41,801)</w:t>
            </w: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 and other, net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loss, net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other expense, net</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(32,535)</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(9,947)</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(42,678)</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59,132</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(23,301)</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(16,225)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19,606</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15,246</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4(m), 4(n)</w:t>
            </w: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11,833</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43,886</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(23,787)</w:t>
            </w: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(12,326)</w:t>
            </w:r>
          </w:p>
        </w:tc>
        <w:tc>
          <w:tcPr>
            <w:tcW w:w="1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7,773</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0.18</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42,028</w:t>
            </w:r>
          </w:p>
        </w:tc>
        <w:tc>
          <w:tcPr>
            <w:tcW w:w="0" w:type="dxa"/>
            <w:vAlign w:val="bottom"/>
          </w:tcPr>
          <w:p>
            <w:pPr>
              <w:spacing w:after="0"/>
              <w:rPr>
                <w:sz w:val="1"/>
                <w:szCs w:val="1"/>
                <w:color w:val="auto"/>
              </w:rPr>
            </w:pPr>
          </w:p>
        </w:tc>
      </w:tr>
      <w:tr>
        <w:trPr>
          <w:trHeight w:val="210"/>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Unaudited Pro Forma Condensed Combined Financial Information.</w:t>
      </w:r>
    </w:p>
    <w:p>
      <w:pPr>
        <w:sectPr>
          <w:pgSz w:w="11900" w:h="16838" w:orient="portrait"/>
          <w:cols w:equalWidth="0" w:num="1">
            <w:col w:w="11240"/>
          </w:cols>
          <w:pgMar w:left="320" w:top="7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77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November 30, 2025</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Historical (unaudited)</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Progress</w:t>
            </w:r>
          </w:p>
        </w:tc>
        <w:tc>
          <w:tcPr>
            <w:tcW w:w="14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7"/>
              </w:rPr>
              <w:t>Domo</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jc w:val="center"/>
              <w:ind w:right="19"/>
              <w:spacing w:after="0" w:line="148" w:lineRule="exact"/>
              <w:rPr>
                <w:sz w:val="20"/>
                <w:szCs w:val="20"/>
                <w:color w:val="auto"/>
              </w:rPr>
            </w:pPr>
            <w:r>
              <w:rPr>
                <w:rFonts w:ascii="Times New Roman" w:cs="Times New Roman" w:eastAsia="Times New Roman" w:hAnsi="Times New Roman"/>
                <w:sz w:val="16"/>
                <w:szCs w:val="16"/>
                <w:b w:val="1"/>
                <w:bCs w:val="1"/>
                <w:color w:val="auto"/>
              </w:rPr>
              <w:t>Pro Forma</w:t>
            </w:r>
          </w:p>
        </w:tc>
        <w:tc>
          <w:tcPr>
            <w:tcW w:w="0" w:type="dxa"/>
            <w:vAlign w:val="bottom"/>
          </w:tcPr>
          <w:p>
            <w:pPr>
              <w:spacing w:after="0"/>
              <w:rPr>
                <w:sz w:val="1"/>
                <w:szCs w:val="1"/>
                <w:color w:val="auto"/>
              </w:rPr>
            </w:pPr>
          </w:p>
        </w:tc>
      </w:tr>
      <w:tr>
        <w:trPr>
          <w:trHeight w:val="212"/>
        </w:trPr>
        <w:tc>
          <w:tcPr>
            <w:tcW w:w="39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For the Year</w:t>
            </w: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79"/>
              <w:spacing w:after="0" w:line="146" w:lineRule="exact"/>
              <w:rPr>
                <w:sz w:val="20"/>
                <w:szCs w:val="20"/>
                <w:color w:val="auto"/>
              </w:rPr>
            </w:pPr>
            <w:r>
              <w:rPr>
                <w:rFonts w:ascii="Times New Roman" w:cs="Times New Roman" w:eastAsia="Times New Roman" w:hAnsi="Times New Roman"/>
                <w:sz w:val="16"/>
                <w:szCs w:val="16"/>
                <w:b w:val="1"/>
                <w:bCs w:val="1"/>
                <w:color w:val="auto"/>
                <w:w w:val="99"/>
              </w:rPr>
              <w:t>Transaction</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For the Year Ended</w:t>
            </w:r>
          </w:p>
        </w:tc>
        <w:tc>
          <w:tcPr>
            <w:tcW w:w="160" w:type="dxa"/>
            <w:vAlign w:val="bottom"/>
          </w:tcPr>
          <w:p>
            <w:pPr>
              <w:spacing w:after="0"/>
              <w:rPr>
                <w:sz w:val="14"/>
                <w:szCs w:val="14"/>
                <w:color w:val="auto"/>
              </w:rPr>
            </w:pPr>
          </w:p>
        </w:tc>
        <w:tc>
          <w:tcPr>
            <w:tcW w:w="13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Accounting and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 the Year Ended</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52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Ended November</w:t>
            </w:r>
          </w:p>
        </w:tc>
        <w:tc>
          <w:tcPr>
            <w:tcW w:w="16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rPr>
              <w:t>Financing</w:t>
            </w:r>
          </w:p>
        </w:tc>
        <w:tc>
          <w:tcPr>
            <w:tcW w:w="120" w:type="dxa"/>
            <w:vAlign w:val="bottom"/>
          </w:tcPr>
          <w:p>
            <w:pPr>
              <w:spacing w:after="0"/>
              <w:rPr>
                <w:sz w:val="14"/>
                <w:szCs w:val="14"/>
                <w:color w:val="auto"/>
              </w:rPr>
            </w:pPr>
          </w:p>
        </w:tc>
        <w:tc>
          <w:tcPr>
            <w:tcW w:w="9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Pr>
          <w:p>
            <w:pPr>
              <w:spacing w:after="0"/>
              <w:rPr>
                <w:sz w:val="18"/>
                <w:szCs w:val="18"/>
                <w:color w:val="auto"/>
              </w:rPr>
            </w:pPr>
          </w:p>
        </w:tc>
        <w:tc>
          <w:tcPr>
            <w:tcW w:w="120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30, 2025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January 31, 2026</w:t>
            </w:r>
          </w:p>
        </w:tc>
        <w:tc>
          <w:tcPr>
            <w:tcW w:w="160" w:type="dxa"/>
            <w:vAlign w:val="bottom"/>
          </w:tcPr>
          <w:p>
            <w:pPr>
              <w:spacing w:after="0"/>
              <w:rPr>
                <w:sz w:val="18"/>
                <w:szCs w:val="18"/>
                <w:color w:val="auto"/>
              </w:rPr>
            </w:pPr>
          </w:p>
        </w:tc>
        <w:tc>
          <w:tcPr>
            <w:tcW w:w="13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November 30, 2025</w:t>
            </w:r>
          </w:p>
        </w:tc>
        <w:tc>
          <w:tcPr>
            <w:tcW w:w="0" w:type="dxa"/>
            <w:vAlign w:val="bottom"/>
          </w:tcPr>
          <w:p>
            <w:pPr>
              <w:spacing w:after="0"/>
              <w:rPr>
                <w:sz w:val="1"/>
                <w:szCs w:val="1"/>
                <w:color w:val="auto"/>
              </w:rPr>
            </w:pPr>
          </w:p>
        </w:tc>
      </w:tr>
      <w:tr>
        <w:trPr>
          <w:trHeight w:val="198"/>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Software licenses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237,887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237,887</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Maintenance, SaaS, and professional services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739,944</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1,058,801</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revenue</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977,831</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318,857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1,296,688</w:t>
            </w: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of revenue: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Cost of software licenses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12,605</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maintenance, SaaS, and professional services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(7,347)</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4(l)</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206,138</w:t>
            </w: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20,600</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4(f)</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61,826</w:t>
            </w: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costs of revenue</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13,253</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280,569</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790,250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239,122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(13,253)</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1,016,119</w:t>
            </w: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141,812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(19,345)</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4(k), 4(m)</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333,480</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Product development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192,265</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77,190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269,455</w:t>
            </w: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4(f)</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166,864</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Amortization of acquired intangibles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104,266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39,900</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4(f)</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144,166</w:t>
            </w: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Restructuring expenses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13,109</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5,317</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5,317</w:t>
            </w:r>
          </w:p>
        </w:tc>
        <w:tc>
          <w:tcPr>
            <w:tcW w:w="0" w:type="dxa"/>
            <w:vAlign w:val="bottom"/>
          </w:tcPr>
          <w:p>
            <w:pPr>
              <w:spacing w:after="0"/>
              <w:rPr>
                <w:sz w:val="1"/>
                <w:szCs w:val="1"/>
                <w:color w:val="auto"/>
              </w:rPr>
            </w:pPr>
          </w:p>
        </w:tc>
      </w:tr>
      <w:tr>
        <w:trPr>
          <w:trHeight w:val="162"/>
        </w:trPr>
        <w:tc>
          <w:tcPr>
            <w:tcW w:w="394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Cyber incident and vulnerability response expenses,</w:t>
            </w: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w:t>
            </w:r>
          </w:p>
        </w:tc>
        <w:tc>
          <w:tcPr>
            <w:tcW w:w="1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9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636,960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278,219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19,987</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935,166</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153,290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(39,097)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(33,240)</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80,953</w:t>
            </w:r>
          </w:p>
        </w:tc>
        <w:tc>
          <w:tcPr>
            <w:tcW w:w="0" w:type="dxa"/>
            <w:vAlign w:val="bottom"/>
          </w:tcPr>
          <w:p>
            <w:pPr>
              <w:spacing w:after="0"/>
              <w:rPr>
                <w:sz w:val="1"/>
                <w:szCs w:val="1"/>
                <w:color w:val="auto"/>
              </w:rPr>
            </w:pPr>
          </w:p>
        </w:tc>
      </w:tr>
      <w:tr>
        <w:trPr>
          <w:trHeight w:val="19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Remeasurement of warranty liability</w:t>
            </w:r>
          </w:p>
        </w:tc>
        <w:tc>
          <w:tcPr>
            <w:tcW w:w="18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2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4(m)</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(70,850)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4(c), 4(m)</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(92,315)</w:t>
            </w: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 and other, net</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loss, net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4(m)</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other expense, net</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(71,662)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(18,486)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(93,105)</w:t>
            </w:r>
          </w:p>
        </w:tc>
        <w:tc>
          <w:tcPr>
            <w:tcW w:w="0" w:type="dxa"/>
            <w:vAlign w:val="bottom"/>
          </w:tcPr>
          <w:p>
            <w:pPr>
              <w:spacing w:after="0"/>
              <w:rPr>
                <w:sz w:val="1"/>
                <w:szCs w:val="1"/>
                <w:color w:val="auto"/>
              </w:rPr>
            </w:pPr>
          </w:p>
        </w:tc>
      </w:tr>
      <w:tr>
        <w:trPr>
          <w:trHeight w:val="212"/>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81,628</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(36,197)</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(12,152)</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8,495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(8,689)</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4(m), 4(n)</w:t>
            </w:r>
          </w:p>
        </w:tc>
        <w:tc>
          <w:tcPr>
            <w:tcW w:w="1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73,133</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(27,508)</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42,996</w:t>
            </w:r>
          </w:p>
        </w:tc>
        <w:tc>
          <w:tcPr>
            <w:tcW w:w="0" w:type="dxa"/>
            <w:vAlign w:val="bottom"/>
          </w:tcPr>
          <w:p>
            <w:pPr>
              <w:spacing w:after="0"/>
              <w:rPr>
                <w:sz w:val="1"/>
                <w:szCs w:val="1"/>
                <w:color w:val="auto"/>
              </w:rPr>
            </w:pPr>
          </w:p>
        </w:tc>
      </w:tr>
      <w:tr>
        <w:trPr>
          <w:trHeight w:val="210"/>
        </w:trPr>
        <w:tc>
          <w:tcPr>
            <w:tcW w:w="3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Unaudited Pro Forma Condensed Combined Financial Information.</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765"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Pro Forma Presentation</w:t>
      </w:r>
    </w:p>
    <w:p>
      <w:pPr>
        <w:spacing w:after="0" w:line="25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presents the pro forma balance sheet and results of operations of the combined company based upon the historical financial statements of the Company and Domo, after giving effect to the Acquisition and adjustments described in these footnotes, and is intended to reflect the impact of the Acquisition on the Company.</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for the six months ended May 31, 2026 and for the year ended November 30, 2025 give effect to the Acquisition as though it had been consummated on December 1, 2024, including the related financing. The unaudited pro forma condensed combined balance sheet as of May 31, 2026 gives effect to the Acquisition as though it had been consummated on May 31, 2026, including the related financing. The Company funded the Acquisition with $390.0 million in borrowings under an existing $1.5 billion revolving credit facility and cash on hand, resulting in total purchase consideration of $403.2 million.</w:t>
      </w:r>
    </w:p>
    <w:p>
      <w:pPr>
        <w:spacing w:after="0" w:line="2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The Acquisition was accounted for using the acquisition method of accounting in accordance with Accounting Standard Codification 805 -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and the Company's cost to acquire Domo has been allocated to the assets acquired and liabilities assumed based upon a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preliminary estimate of fair values as of the date of the Acquisition using assumptions that the Company's management believes are reasonable given the information currently available. The process for estimating the fair values of identifiable intangible assets and certain tangible assets requires the use of significant estimates and assumptions, including estimating future cash flows and determining appropriate discount rates. The excess of the Purchase Price over the estimated amounts of net assets as of the effective date of the Acquisition was allocated to goodwill in accordance with the accounting guidance. The preliminary fair value estimates of the net assets acquired are based upon preliminary calculations and valuations, and those estimates and assumptions are subject to change as we obtain additional information for those estimates during the measurement period (up to one year from the acquisition date).</w:t>
      </w:r>
    </w:p>
    <w:p>
      <w:pPr>
        <w:spacing w:after="0" w:line="21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on the Company's preliminary review of Domo's summary of significant accounting policies disclosed in Domo's Annual Report on Form 10-K filed with the SEC on April 16, 2026, the nature and amount of any adjustments to conform its accounting policies to those of the Company are not expected to be significant.</w:t>
      </w:r>
    </w:p>
    <w:p>
      <w:pPr>
        <w:spacing w:after="0" w:line="20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statements of operations do not reflect the cost of any integration activities or benefits from the Acquisition and synergies that may be derived from any integration activities, both of which may have a material effect on Progress' consolidated results of operations in periods following the completion of the Acquisition.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Domo Reclassification Adjustments</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During the preparation of the unaudited pro forma condensed combined balance sheets and statements of operations, management performed a preliminary analysis of Domo's financial information to identify differences in Domo's financial statement presentation as compared to the financial statement presentation of the Company. Based on a preliminary analysis performed, certain reclassification adjustments have been made to conform Domo's historical financial statement presentation to the Company's financial statement presentation. The Company is currently performing a full and detailed review of Domo's financial statement presentation and accounting policies, which could result in amounts set forth in the Company's future financial statements being materially different from the amounts set forth in the unaudited pro forma condensed combined financial information presented herein.</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8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Unaudited Reclassified Condensed Combined Balance Sheet of Domo,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of July 31, 2026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Domo</w:t>
            </w:r>
          </w:p>
        </w:tc>
        <w:tc>
          <w:tcPr>
            <w:tcW w:w="160" w:type="dxa"/>
            <w:vAlign w:val="bottom"/>
          </w:tcPr>
          <w:p>
            <w:pPr>
              <w:spacing w:after="0"/>
              <w:rPr>
                <w:sz w:val="16"/>
                <w:szCs w:val="16"/>
                <w:color w:val="auto"/>
              </w:rPr>
            </w:pPr>
          </w:p>
        </w:tc>
        <w:tc>
          <w:tcPr>
            <w:tcW w:w="13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Reclassification</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Domo Historical</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Historical</w:t>
            </w: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60" w:type="dxa"/>
            <w:vAlign w:val="bottom"/>
          </w:tcPr>
          <w:p>
            <w:pPr>
              <w:spacing w:after="0"/>
              <w:rPr>
                <w:sz w:val="14"/>
                <w:szCs w:val="14"/>
                <w:color w:val="auto"/>
              </w:rPr>
            </w:pPr>
          </w:p>
        </w:tc>
        <w:tc>
          <w:tcPr>
            <w:tcW w:w="1380" w:type="dxa"/>
            <w:vAlign w:val="bottom"/>
          </w:tcPr>
          <w:p>
            <w:pPr>
              <w:jc w:val="right"/>
              <w:ind w:right="259"/>
              <w:spacing w:after="0" w:line="162"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24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6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198"/>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2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25,071</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 net of allowances of $4,792</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2(a)</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44,002</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acquisition costs,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(17,584)</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2(b)</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Unbilled receivables, current portion</w:t>
            </w:r>
          </w:p>
        </w:tc>
        <w:tc>
          <w:tcPr>
            <w:tcW w:w="24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2(a)</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3,561</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17,584</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2(b)</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27,047</w:t>
            </w:r>
          </w:p>
        </w:tc>
        <w:tc>
          <w:tcPr>
            <w:tcW w:w="0" w:type="dxa"/>
            <w:vAlign w:val="bottom"/>
          </w:tcPr>
          <w:p>
            <w:pPr>
              <w:spacing w:after="0"/>
              <w:rPr>
                <w:sz w:val="1"/>
                <w:szCs w:val="1"/>
                <w:color w:val="auto"/>
              </w:rPr>
            </w:pPr>
          </w:p>
        </w:tc>
      </w:tr>
      <w:tr>
        <w:trPr>
          <w:trHeight w:val="207"/>
        </w:trPr>
        <w:tc>
          <w:tcPr>
            <w:tcW w:w="5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99,681</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27,584</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lease assets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8,174</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acquisition costs, noncurrent,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(25,589)</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2(c)</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9,478</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25,589</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2(c)</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28,654</w:t>
            </w:r>
          </w:p>
        </w:tc>
        <w:tc>
          <w:tcPr>
            <w:tcW w:w="0" w:type="dxa"/>
            <w:vAlign w:val="bottom"/>
          </w:tcPr>
          <w:p>
            <w:pPr>
              <w:spacing w:after="0"/>
              <w:rPr>
                <w:sz w:val="1"/>
                <w:szCs w:val="1"/>
                <w:color w:val="auto"/>
              </w:rPr>
            </w:pPr>
          </w:p>
        </w:tc>
      </w:tr>
      <w:tr>
        <w:trPr>
          <w:trHeight w:val="234"/>
        </w:trPr>
        <w:tc>
          <w:tcPr>
            <w:tcW w:w="58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174,966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174,966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compensation and related payroll taxes</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20,190</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20,190</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Warrant liability</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(48,098)</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debt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137,240</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142,971</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27,908</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2(d)</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27,908</w:t>
            </w:r>
          </w:p>
        </w:tc>
        <w:tc>
          <w:tcPr>
            <w:tcW w:w="0" w:type="dxa"/>
            <w:vAlign w:val="bottom"/>
          </w:tcPr>
          <w:p>
            <w:pPr>
              <w:spacing w:after="0"/>
              <w:rPr>
                <w:sz w:val="1"/>
                <w:szCs w:val="1"/>
                <w:color w:val="auto"/>
              </w:rPr>
            </w:pPr>
          </w:p>
        </w:tc>
      </w:tr>
      <w:tr>
        <w:trPr>
          <w:trHeight w:val="207"/>
        </w:trPr>
        <w:tc>
          <w:tcPr>
            <w:tcW w:w="5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353,603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353,603</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liabilities, noncurrent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0" w:type="dxa"/>
            <w:vAlign w:val="bottom"/>
          </w:tcPr>
          <w:p>
            <w:pPr>
              <w:spacing w:after="0"/>
              <w:rPr>
                <w:sz w:val="1"/>
                <w:szCs w:val="1"/>
                <w:color w:val="auto"/>
              </w:rPr>
            </w:pPr>
          </w:p>
        </w:tc>
      </w:tr>
      <w:tr>
        <w:trPr>
          <w:trHeight w:val="207"/>
        </w:trPr>
        <w:tc>
          <w:tcPr>
            <w:tcW w:w="5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362,274</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8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Preferred stock, $0.001 par value per share; 10,000 shares authorized; no shares</w:t>
            </w:r>
          </w:p>
        </w:tc>
        <w:tc>
          <w:tcPr>
            <w:tcW w:w="2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issued and outstanding</w:t>
            </w:r>
          </w:p>
        </w:tc>
        <w:tc>
          <w:tcPr>
            <w:tcW w:w="2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86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Class A common stock, $0.001 par value per share; 3,264 shares authorized; 3,264</w:t>
            </w:r>
          </w:p>
        </w:tc>
        <w:tc>
          <w:tcPr>
            <w:tcW w:w="24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issued and outstanding</w:t>
            </w:r>
          </w:p>
        </w:tc>
        <w:tc>
          <w:tcPr>
            <w:tcW w:w="2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860" w:type="dxa"/>
            <w:vAlign w:val="bottom"/>
            <w:shd w:val="clear" w:color="auto" w:fill="CCEEFF"/>
          </w:tcPr>
          <w:p>
            <w:pPr>
              <w:ind w:left="360"/>
              <w:spacing w:after="0" w:line="165" w:lineRule="exact"/>
              <w:rPr>
                <w:sz w:val="20"/>
                <w:szCs w:val="20"/>
                <w:color w:val="auto"/>
              </w:rPr>
            </w:pPr>
            <w:r>
              <w:rPr>
                <w:rFonts w:ascii="Times New Roman" w:cs="Times New Roman" w:eastAsia="Times New Roman" w:hAnsi="Times New Roman"/>
                <w:sz w:val="16"/>
                <w:szCs w:val="16"/>
                <w:color w:val="auto"/>
              </w:rPr>
              <w:t>Class B common stock, $0.001 par value per share; 500,000 shares authorized;</w:t>
            </w:r>
          </w:p>
        </w:tc>
        <w:tc>
          <w:tcPr>
            <w:tcW w:w="2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43,773 shares issued and outstanding</w:t>
            </w:r>
          </w:p>
        </w:tc>
        <w:tc>
          <w:tcPr>
            <w:tcW w:w="24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1,382,575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1,382,575</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(1,570,667)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(1,570,667)</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(187,308)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(187,308)</w:t>
            </w:r>
          </w:p>
        </w:tc>
        <w:tc>
          <w:tcPr>
            <w:tcW w:w="0" w:type="dxa"/>
            <w:vAlign w:val="bottom"/>
          </w:tcPr>
          <w:p>
            <w:pPr>
              <w:spacing w:after="0"/>
              <w:rPr>
                <w:sz w:val="1"/>
                <w:szCs w:val="1"/>
                <w:color w:val="auto"/>
              </w:rPr>
            </w:pPr>
          </w:p>
        </w:tc>
      </w:tr>
      <w:tr>
        <w:trPr>
          <w:trHeight w:val="207"/>
        </w:trPr>
        <w:tc>
          <w:tcPr>
            <w:tcW w:w="58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174,966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174,966</w:t>
            </w: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Unaudited Reclassified Condensed Combined Statement of Operations of Domo,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Six Months Ended July 31, 2026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Domo</w:t>
            </w:r>
          </w:p>
        </w:tc>
        <w:tc>
          <w:tcPr>
            <w:tcW w:w="160" w:type="dxa"/>
            <w:vAlign w:val="bottom"/>
          </w:tcPr>
          <w:p>
            <w:pPr>
              <w:spacing w:after="0"/>
              <w:rPr>
                <w:sz w:val="16"/>
                <w:szCs w:val="16"/>
                <w:color w:val="auto"/>
              </w:rPr>
            </w:pPr>
          </w:p>
        </w:tc>
        <w:tc>
          <w:tcPr>
            <w:tcW w:w="13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Reclassification</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Domo Historical</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Historical</w:t>
            </w: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60" w:type="dxa"/>
            <w:vAlign w:val="bottom"/>
          </w:tcPr>
          <w:p>
            <w:pPr>
              <w:spacing w:after="0"/>
              <w:rPr>
                <w:sz w:val="14"/>
                <w:szCs w:val="14"/>
                <w:color w:val="auto"/>
              </w:rPr>
            </w:pPr>
          </w:p>
        </w:tc>
        <w:tc>
          <w:tcPr>
            <w:tcW w:w="1380" w:type="dxa"/>
            <w:vAlign w:val="bottom"/>
          </w:tcPr>
          <w:p>
            <w:pPr>
              <w:jc w:val="right"/>
              <w:ind w:right="259"/>
              <w:spacing w:after="0" w:line="162"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6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198"/>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Subscription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140,137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(140,137)</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Professional services and 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(16,049)</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Maintenance, SaaS, and professional services</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156,186</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156,186</w:t>
            </w:r>
          </w:p>
        </w:tc>
        <w:tc>
          <w:tcPr>
            <w:tcW w:w="0" w:type="dxa"/>
            <w:vAlign w:val="bottom"/>
          </w:tcPr>
          <w:p>
            <w:pPr>
              <w:spacing w:after="0"/>
              <w:rPr>
                <w:sz w:val="1"/>
                <w:szCs w:val="1"/>
                <w:color w:val="auto"/>
              </w:rPr>
            </w:pPr>
          </w:p>
        </w:tc>
      </w:tr>
      <w:tr>
        <w:trPr>
          <w:trHeight w:val="212"/>
        </w:trPr>
        <w:tc>
          <w:tcPr>
            <w:tcW w:w="58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156,186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156,186</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Subscription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(25,134)</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2(f)</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Professional services and other</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(13,286)</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2(f)</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maintenance, SaaS, and professional services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38,420</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2(f)</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38,420</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cost of revenue</w:t>
            </w: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38,420</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38,420</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117,766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117,766</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66,448</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36,407</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28,265</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131,120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131,120</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(13,354)</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Remeasurement of warrant liability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expense,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11,771</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2(g)</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(12,272)</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2(g)</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(12,272)</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 and other, net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2(g)</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loss, net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2(g)</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other expense, net</w:t>
            </w: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(9,947)</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(9,947)</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(23,301)</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234"/>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(23,787)</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86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5"/>
                <w:szCs w:val="15"/>
                <w:color w:val="auto"/>
              </w:rPr>
              <w:t>Weighted average number of shares used in computing net loss per share, basic and</w:t>
            </w:r>
          </w:p>
        </w:tc>
        <w:tc>
          <w:tcPr>
            <w:tcW w:w="2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44,729</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44,729</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8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Unaudited Reclassified Combined Statement of Operations of Domo,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Year Ended January 31, 2026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Domo</w:t>
            </w:r>
          </w:p>
        </w:tc>
        <w:tc>
          <w:tcPr>
            <w:tcW w:w="160" w:type="dxa"/>
            <w:vAlign w:val="bottom"/>
          </w:tcPr>
          <w:p>
            <w:pPr>
              <w:spacing w:after="0"/>
              <w:rPr>
                <w:sz w:val="16"/>
                <w:szCs w:val="16"/>
                <w:color w:val="auto"/>
              </w:rPr>
            </w:pPr>
          </w:p>
        </w:tc>
        <w:tc>
          <w:tcPr>
            <w:tcW w:w="136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Reclassification</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Domo Historical</w:t>
            </w: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Historical</w:t>
            </w: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60" w:type="dxa"/>
            <w:vAlign w:val="bottom"/>
          </w:tcPr>
          <w:p>
            <w:pPr>
              <w:spacing w:after="0"/>
              <w:rPr>
                <w:sz w:val="14"/>
                <w:szCs w:val="14"/>
                <w:color w:val="auto"/>
              </w:rPr>
            </w:pPr>
          </w:p>
        </w:tc>
        <w:tc>
          <w:tcPr>
            <w:tcW w:w="1380" w:type="dxa"/>
            <w:vAlign w:val="bottom"/>
          </w:tcPr>
          <w:p>
            <w:pPr>
              <w:jc w:val="right"/>
              <w:ind w:right="259"/>
              <w:spacing w:after="0" w:line="162"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0" w:type="dxa"/>
            <w:vAlign w:val="bottom"/>
          </w:tcPr>
          <w:p>
            <w:pPr>
              <w:spacing w:after="0"/>
              <w:rPr>
                <w:sz w:val="1"/>
                <w:szCs w:val="1"/>
                <w:color w:val="auto"/>
              </w:rPr>
            </w:pPr>
          </w:p>
        </w:tc>
      </w:tr>
      <w:tr>
        <w:trPr>
          <w:trHeight w:val="214"/>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160" w:type="dxa"/>
            <w:vAlign w:val="bottom"/>
          </w:tcPr>
          <w:p>
            <w:pPr>
              <w:spacing w:after="0"/>
              <w:rPr>
                <w:sz w:val="18"/>
                <w:szCs w:val="18"/>
                <w:color w:val="auto"/>
              </w:rPr>
            </w:pPr>
          </w:p>
        </w:tc>
        <w:tc>
          <w:tcPr>
            <w:tcW w:w="13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As Adjusted</w:t>
            </w:r>
          </w:p>
        </w:tc>
        <w:tc>
          <w:tcPr>
            <w:tcW w:w="0" w:type="dxa"/>
            <w:vAlign w:val="bottom"/>
          </w:tcPr>
          <w:p>
            <w:pPr>
              <w:spacing w:after="0"/>
              <w:rPr>
                <w:sz w:val="1"/>
                <w:szCs w:val="1"/>
                <w:color w:val="auto"/>
              </w:rPr>
            </w:pPr>
          </w:p>
        </w:tc>
      </w:tr>
      <w:tr>
        <w:trPr>
          <w:trHeight w:val="198"/>
        </w:trPr>
        <w:tc>
          <w:tcPr>
            <w:tcW w:w="5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Subscription</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289,352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(289,352)</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Professional services and other</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(29,505)</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2(e)</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Maintenance, SaaS, and professional services</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318,857</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318,857</w:t>
            </w:r>
          </w:p>
        </w:tc>
        <w:tc>
          <w:tcPr>
            <w:tcW w:w="0" w:type="dxa"/>
            <w:vAlign w:val="bottom"/>
          </w:tcPr>
          <w:p>
            <w:pPr>
              <w:spacing w:after="0"/>
              <w:rPr>
                <w:sz w:val="1"/>
                <w:szCs w:val="1"/>
                <w:color w:val="auto"/>
              </w:rPr>
            </w:pPr>
          </w:p>
        </w:tc>
      </w:tr>
      <w:tr>
        <w:trPr>
          <w:trHeight w:val="212"/>
        </w:trPr>
        <w:tc>
          <w:tcPr>
            <w:tcW w:w="58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318,857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318,857</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Subscription</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(56,897)</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2(f)</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Professional services and other</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(22,838)</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2(f)</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Cost of maintenance, SaaS, and professional services</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79,735</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2(f)</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79,735</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cost of revenue</w:t>
            </w: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79,735</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79,735</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239,122</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Sales and marketing</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141,812</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77,190</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59,217</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278,219</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278,219</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(39,097)</w:t>
            </w:r>
          </w:p>
        </w:tc>
        <w:tc>
          <w:tcPr>
            <w:tcW w:w="0" w:type="dxa"/>
            <w:vAlign w:val="bottom"/>
          </w:tcPr>
          <w:p>
            <w:pPr>
              <w:spacing w:after="0"/>
              <w:rPr>
                <w:sz w:val="1"/>
                <w:szCs w:val="1"/>
                <w:color w:val="auto"/>
              </w:rPr>
            </w:pPr>
          </w:p>
        </w:tc>
      </w:tr>
      <w:tr>
        <w:trPr>
          <w:trHeight w:val="213"/>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Remeasurement of warrant liability</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expense,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20,445</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2(g)</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(20,480)</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2(g)</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(20,480)</w:t>
            </w:r>
          </w:p>
        </w:tc>
        <w:tc>
          <w:tcPr>
            <w:tcW w:w="0" w:type="dxa"/>
            <w:vAlign w:val="bottom"/>
          </w:tcPr>
          <w:p>
            <w:pPr>
              <w:spacing w:after="0"/>
              <w:rPr>
                <w:sz w:val="1"/>
                <w:szCs w:val="1"/>
                <w:color w:val="auto"/>
              </w:rPr>
            </w:pPr>
          </w:p>
        </w:tc>
      </w:tr>
      <w:tr>
        <w:trPr>
          <w:trHeight w:val="213"/>
        </w:trPr>
        <w:tc>
          <w:tcPr>
            <w:tcW w:w="5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Interest income and other, net</w:t>
            </w:r>
          </w:p>
        </w:tc>
        <w:tc>
          <w:tcPr>
            <w:tcW w:w="22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2(g)</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0" w:type="dxa"/>
            <w:vAlign w:val="bottom"/>
          </w:tcPr>
          <w:p>
            <w:pPr>
              <w:spacing w:after="0"/>
              <w:rPr>
                <w:sz w:val="1"/>
                <w:szCs w:val="1"/>
                <w:color w:val="auto"/>
              </w:rPr>
            </w:pPr>
          </w:p>
        </w:tc>
      </w:tr>
      <w:tr>
        <w:trPr>
          <w:trHeight w:val="219"/>
        </w:trPr>
        <w:tc>
          <w:tcPr>
            <w:tcW w:w="5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Foreign currency loss, net</w:t>
            </w:r>
          </w:p>
        </w:tc>
        <w:tc>
          <w:tcPr>
            <w:tcW w:w="2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2(g)</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207"/>
        </w:trPr>
        <w:tc>
          <w:tcPr>
            <w:tcW w:w="5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color w:val="auto"/>
              </w:rPr>
              <w:t>Total other expense, net</w:t>
            </w:r>
          </w:p>
        </w:tc>
        <w:tc>
          <w:tcPr>
            <w:tcW w:w="22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(18,486)</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(18,486)</w:t>
            </w:r>
          </w:p>
        </w:tc>
        <w:tc>
          <w:tcPr>
            <w:tcW w:w="0" w:type="dxa"/>
            <w:vAlign w:val="bottom"/>
          </w:tcPr>
          <w:p>
            <w:pPr>
              <w:spacing w:after="0"/>
              <w:rPr>
                <w:sz w:val="1"/>
                <w:szCs w:val="1"/>
                <w:color w:val="auto"/>
              </w:rPr>
            </w:pPr>
          </w:p>
        </w:tc>
      </w:tr>
      <w:tr>
        <w:trPr>
          <w:trHeight w:val="212"/>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(57,583)</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1,759</w:t>
            </w:r>
          </w:p>
        </w:tc>
        <w:tc>
          <w:tcPr>
            <w:tcW w:w="0" w:type="dxa"/>
            <w:vAlign w:val="bottom"/>
          </w:tcPr>
          <w:p>
            <w:pPr>
              <w:spacing w:after="0"/>
              <w:rPr>
                <w:sz w:val="1"/>
                <w:szCs w:val="1"/>
                <w:color w:val="auto"/>
              </w:rPr>
            </w:pPr>
          </w:p>
        </w:tc>
      </w:tr>
      <w:tr>
        <w:trPr>
          <w:trHeight w:val="234"/>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(59,342)</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share, basic and 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60" w:type="dxa"/>
            <w:vAlign w:val="bottom"/>
            <w:vMerge w:val="continue"/>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5860" w:type="dxa"/>
            <w:vAlign w:val="bottom"/>
            <w:shd w:val="clear" w:color="auto" w:fill="CCEEFF"/>
          </w:tcPr>
          <w:p>
            <w:pPr>
              <w:ind w:left="20"/>
              <w:spacing w:after="0" w:line="132" w:lineRule="exact"/>
              <w:rPr>
                <w:sz w:val="20"/>
                <w:szCs w:val="20"/>
                <w:color w:val="auto"/>
              </w:rPr>
            </w:pPr>
            <w:r>
              <w:rPr>
                <w:rFonts w:ascii="Times New Roman" w:cs="Times New Roman" w:eastAsia="Times New Roman" w:hAnsi="Times New Roman"/>
                <w:sz w:val="15"/>
                <w:szCs w:val="15"/>
                <w:color w:val="auto"/>
              </w:rPr>
              <w:t>Weighted average number of shares used in computing net loss per share, basic and</w:t>
            </w:r>
          </w:p>
        </w:tc>
        <w:tc>
          <w:tcPr>
            <w:tcW w:w="220" w:type="dxa"/>
            <w:vAlign w:val="bottom"/>
            <w:shd w:val="clear" w:color="auto" w:fill="CCEEFF"/>
          </w:tcPr>
          <w:p>
            <w:pPr>
              <w:spacing w:after="0"/>
              <w:rPr>
                <w:sz w:val="11"/>
                <w:szCs w:val="11"/>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40,984</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40,984</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765" w:right="339" w:bottom="1440" w:gutter="0" w:footer="0" w:header="0"/>
          <w:type w:val="continuous"/>
        </w:sectPr>
      </w:pPr>
    </w:p>
    <w:bookmarkStart w:id="13" w:name="page14"/>
    <w:bookmarkEnd w:id="13"/>
    <w:p>
      <w:pPr>
        <w:ind w:right="500"/>
        <w:spacing w:after="0" w:line="282" w:lineRule="auto"/>
        <w:rPr>
          <w:sz w:val="20"/>
          <w:szCs w:val="20"/>
          <w:color w:val="auto"/>
        </w:rPr>
      </w:pPr>
      <w:r>
        <w:rPr>
          <w:rFonts w:ascii="Times New Roman" w:cs="Times New Roman" w:eastAsia="Times New Roman" w:hAnsi="Times New Roman"/>
          <w:sz w:val="18"/>
          <w:szCs w:val="18"/>
          <w:color w:val="auto"/>
        </w:rPr>
        <w:t>The following reclassification adjustments were made to conform Domo's financial statement presentation to Progress's historical financial statement presentation:</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shd w:val="clear" w:color="auto" w:fill="CCEEFF"/>
          </w:tcPr>
          <w:p>
            <w:pPr>
              <w:spacing w:after="0"/>
              <w:rPr>
                <w:sz w:val="17"/>
                <w:szCs w:val="17"/>
                <w:color w:val="auto"/>
              </w:rPr>
            </w:pPr>
          </w:p>
        </w:tc>
        <w:tc>
          <w:tcPr>
            <w:tcW w:w="10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Represents the reclassification of unbilled receivables within Accounts receivable, net of allowances of $4,792 to Unbilled receivables, current</w:t>
            </w:r>
          </w:p>
        </w:tc>
      </w:tr>
      <w:tr>
        <w:trPr>
          <w:trHeight w:val="243"/>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2(a)</w:t>
            </w:r>
          </w:p>
        </w:tc>
        <w:tc>
          <w:tcPr>
            <w:tcW w:w="10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portion.</w:t>
            </w:r>
          </w:p>
        </w:tc>
      </w:tr>
      <w:tr>
        <w:trPr>
          <w:trHeight w:val="230"/>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2(b)</w:t>
            </w:r>
          </w:p>
        </w:tc>
        <w:tc>
          <w:tcPr>
            <w:tcW w:w="10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Represents the reclassification of Contract acquisition costs, net to Prepaid expenses and other current assets.</w:t>
            </w:r>
          </w:p>
        </w:tc>
      </w:tr>
      <w:tr>
        <w:trPr>
          <w:trHeight w:val="229"/>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2(c)</w:t>
            </w:r>
          </w:p>
        </w:tc>
        <w:tc>
          <w:tcPr>
            <w:tcW w:w="10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Represents the reclassification of Contract acquisition costs, noncurrent, net to Other assets.</w:t>
            </w:r>
          </w:p>
        </w:tc>
      </w:tr>
      <w:tr>
        <w:trPr>
          <w:trHeight w:val="176"/>
        </w:trPr>
        <w:tc>
          <w:tcPr>
            <w:tcW w:w="580" w:type="dxa"/>
            <w:vAlign w:val="bottom"/>
          </w:tcPr>
          <w:p>
            <w:pPr>
              <w:spacing w:after="0"/>
              <w:rPr>
                <w:sz w:val="15"/>
                <w:szCs w:val="15"/>
                <w:color w:val="auto"/>
              </w:rPr>
            </w:pPr>
          </w:p>
        </w:tc>
        <w:tc>
          <w:tcPr>
            <w:tcW w:w="106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Represents the separation and reclassification of Accrued expenses and other current liabilities to Accrued compensation and related payroll</w:t>
            </w:r>
          </w:p>
        </w:tc>
      </w:tr>
      <w:tr>
        <w:trPr>
          <w:trHeight w:val="243"/>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2(d)</w:t>
            </w:r>
          </w:p>
        </w:tc>
        <w:tc>
          <w:tcPr>
            <w:tcW w:w="10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 and Other accrued liabilities.</w:t>
            </w:r>
          </w:p>
        </w:tc>
      </w:tr>
      <w:tr>
        <w:trPr>
          <w:trHeight w:val="176"/>
        </w:trPr>
        <w:tc>
          <w:tcPr>
            <w:tcW w:w="580" w:type="dxa"/>
            <w:vAlign w:val="bottom"/>
            <w:shd w:val="clear" w:color="auto" w:fill="CCEEFF"/>
          </w:tcPr>
          <w:p>
            <w:pPr>
              <w:spacing w:after="0"/>
              <w:rPr>
                <w:sz w:val="15"/>
                <w:szCs w:val="15"/>
                <w:color w:val="auto"/>
              </w:rPr>
            </w:pPr>
          </w:p>
        </w:tc>
        <w:tc>
          <w:tcPr>
            <w:tcW w:w="106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Represents the combination and reclassification of Subscription and Professional services and other (revenue) to Maintenance, SaaS, and</w:t>
            </w:r>
          </w:p>
        </w:tc>
      </w:tr>
      <w:tr>
        <w:trPr>
          <w:trHeight w:val="243"/>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2(e)</w:t>
            </w:r>
          </w:p>
        </w:tc>
        <w:tc>
          <w:tcPr>
            <w:tcW w:w="10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services.</w:t>
            </w:r>
          </w:p>
        </w:tc>
      </w:tr>
      <w:tr>
        <w:trPr>
          <w:trHeight w:val="175"/>
        </w:trPr>
        <w:tc>
          <w:tcPr>
            <w:tcW w:w="580" w:type="dxa"/>
            <w:vAlign w:val="bottom"/>
          </w:tcPr>
          <w:p>
            <w:pPr>
              <w:spacing w:after="0"/>
              <w:rPr>
                <w:sz w:val="15"/>
                <w:szCs w:val="15"/>
                <w:color w:val="auto"/>
              </w:rPr>
            </w:pPr>
          </w:p>
        </w:tc>
        <w:tc>
          <w:tcPr>
            <w:tcW w:w="106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Represents the combination and reclassification of Subscription and Professional services and other (cost of revenue) to Cost of maintenance,</w:t>
            </w:r>
          </w:p>
        </w:tc>
      </w:tr>
      <w:tr>
        <w:trPr>
          <w:trHeight w:val="243"/>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2(f)</w:t>
            </w:r>
          </w:p>
        </w:tc>
        <w:tc>
          <w:tcPr>
            <w:tcW w:w="10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SaaS, and professional services.</w:t>
            </w:r>
          </w:p>
        </w:tc>
      </w:tr>
      <w:tr>
        <w:trPr>
          <w:trHeight w:val="175"/>
        </w:trPr>
        <w:tc>
          <w:tcPr>
            <w:tcW w:w="580" w:type="dxa"/>
            <w:vAlign w:val="bottom"/>
            <w:shd w:val="clear" w:color="auto" w:fill="CCEEFF"/>
          </w:tcPr>
          <w:p>
            <w:pPr>
              <w:spacing w:after="0"/>
              <w:rPr>
                <w:sz w:val="15"/>
                <w:szCs w:val="15"/>
                <w:color w:val="auto"/>
              </w:rPr>
            </w:pPr>
          </w:p>
        </w:tc>
        <w:tc>
          <w:tcPr>
            <w:tcW w:w="106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Represents the separation and reclassification of Other expense, net to Interest expense, Interest income and other, net, and Foreign currency</w:t>
            </w:r>
          </w:p>
        </w:tc>
      </w:tr>
      <w:tr>
        <w:trPr>
          <w:trHeight w:val="243"/>
        </w:trPr>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2(g)</w:t>
            </w:r>
          </w:p>
        </w:tc>
        <w:tc>
          <w:tcPr>
            <w:tcW w:w="10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net.</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Transaction Summary</w:t>
      </w:r>
    </w:p>
    <w:p>
      <w:pPr>
        <w:spacing w:after="0" w:line="256"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Acquisition was completed for a Purchase Price of $400.0 million in cash, subject to certain customary adjustments as further described in the Purchase Agreement, and was funded through $390.0 million in borrowings under an existing $1.5 billion revolving credit facility and cash on hand, resulting in total purchase consideration of $403.2 million.</w:t>
      </w:r>
    </w:p>
    <w:p>
      <w:pPr>
        <w:spacing w:after="0" w:line="203"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The Purchase Price has been allocated to Domo's acquired tangible assets, identifiable intangible assets, and assumed liabilities based on their estimated fair values assuming the Acquisition was consummated on May 31, 2026. The excess of the Purchase Price over the acquired tangible assets, identifiable intangible assets, and assumed liabilities will be recorded as goodwill. The Company's estimates and assumptions in determining the estimated fair values of certain assets and liabilities are preliminary and are subject to change.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estimated Purchase Price was allocated as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7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3"/>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24,509</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44,002</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 current portion</w:t>
            </w: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3,561</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188,000</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technology</w:t>
            </w: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103,000</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11,500</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assets and other assets</w:t>
            </w: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35,087</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(142,971)</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 and related payroll taxes</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(8,152)</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(6,615)</w:t>
            </w:r>
          </w:p>
        </w:tc>
      </w:tr>
      <w:tr>
        <w:trPr>
          <w:trHeight w:val="230"/>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(19,243)</w:t>
            </w:r>
          </w:p>
        </w:tc>
      </w:tr>
      <w:tr>
        <w:trPr>
          <w:trHeight w:val="230"/>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 portion</w:t>
            </w:r>
          </w:p>
        </w:tc>
        <w:tc>
          <w:tcPr>
            <w:tcW w:w="7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w:t>
            </w:r>
          </w:p>
        </w:tc>
      </w:tr>
      <w:tr>
        <w:trPr>
          <w:trHeight w:val="229"/>
        </w:trPr>
        <w:tc>
          <w:tcPr>
            <w:tcW w:w="9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w:t>
            </w:r>
          </w:p>
        </w:tc>
      </w:tr>
      <w:tr>
        <w:trPr>
          <w:trHeight w:val="230"/>
        </w:trPr>
        <w:tc>
          <w:tcPr>
            <w:tcW w:w="9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7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r>
      <w:tr>
        <w:trPr>
          <w:trHeight w:val="223"/>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7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234,393</w:t>
            </w:r>
          </w:p>
        </w:tc>
      </w:tr>
      <w:tr>
        <w:trPr>
          <w:trHeight w:val="229"/>
        </w:trPr>
        <w:tc>
          <w:tcPr>
            <w:tcW w:w="9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7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168,794</w:t>
            </w:r>
          </w:p>
        </w:tc>
      </w:tr>
      <w:tr>
        <w:trPr>
          <w:trHeight w:val="223"/>
        </w:trPr>
        <w:tc>
          <w:tcPr>
            <w:tcW w:w="9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403,187</w:t>
            </w:r>
          </w:p>
        </w:tc>
      </w:tr>
      <w:tr>
        <w:trPr>
          <w:trHeight w:val="21"/>
        </w:trPr>
        <w:tc>
          <w:tcPr>
            <w:tcW w:w="9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preliminary fair value of the intangible assets has been estimated using the income approach in which the after-tax cash flows are discounted to present value. The cash flows are based on estimates used to price the Acquisition, and the discount rates applied were benchmarked with reference to the implied rate of return from the transaction model as well as the weighted average cost of capital.</w:t>
      </w:r>
    </w:p>
    <w:p>
      <w:pPr>
        <w:sectPr>
          <w:pgSz w:w="11900" w:h="16838" w:orient="portrait"/>
          <w:cols w:equalWidth="0" w:num="1">
            <w:col w:w="11240"/>
          </w:cols>
          <w:pgMar w:left="320" w:top="769" w:right="339" w:bottom="1440" w:gutter="0" w:footer="0" w:header="0"/>
        </w:sect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769" w:right="339" w:bottom="1440" w:gutter="0" w:footer="0" w:header="0"/>
          <w:type w:val="continuous"/>
        </w:sectPr>
      </w:pPr>
    </w:p>
    <w:bookmarkStart w:id="14" w:name="page15"/>
    <w:bookmarkEnd w:id="14"/>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Acquisition-related transaction costs (e.g., advisory, legal, valuation, and other professional fees) and related charges are not included as a component of consideration transferred, but are required to be expensed as incurred. Acquisition-related transaction costs of $10.7 million are reflected in the unaudited pro forma condensed combined financial information as described in tickmark 4(b) Note 4: Transaction Accounting and Financing Adjustments.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Transaction Accounting and Financing Adjustments</w:t>
      </w:r>
    </w:p>
    <w:p>
      <w:pPr>
        <w:spacing w:after="0" w:line="285"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4(a)</w:t>
        <w:tab/>
        <w:t>The following adjustments reflect certain assets not acquired and liabilities not assumed as further described in the Purchase Agreement:</w:t>
      </w:r>
    </w:p>
    <w:p>
      <w:pPr>
        <w:ind w:left="1240" w:hanging="310"/>
        <w:spacing w:after="0" w:line="219"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reduction of $0.6 million</w:t>
      </w:r>
    </w:p>
    <w:p>
      <w:pPr>
        <w:ind w:left="1240" w:hanging="310"/>
        <w:spacing w:after="0" w:line="203"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current assets reduction of $1.4 million</w:t>
      </w:r>
    </w:p>
    <w:p>
      <w:pPr>
        <w:ind w:left="1240" w:hanging="310"/>
        <w:spacing w:after="0" w:line="203"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net reduction of $0.1 million</w:t>
      </w:r>
    </w:p>
    <w:p>
      <w:pPr>
        <w:ind w:left="1240" w:hanging="310"/>
        <w:spacing w:after="0" w:line="219"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net reduction of $0.1 million</w:t>
      </w:r>
    </w:p>
    <w:p>
      <w:pPr>
        <w:ind w:left="1240" w:hanging="310"/>
        <w:spacing w:after="0" w:line="203"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lease assets reduction of $0.7 million</w:t>
      </w:r>
    </w:p>
    <w:p>
      <w:pPr>
        <w:ind w:left="1240" w:hanging="310"/>
        <w:spacing w:after="0" w:line="203"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 reduction of $1.2 million</w:t>
      </w:r>
    </w:p>
    <w:p>
      <w:pPr>
        <w:ind w:left="1240" w:hanging="310"/>
        <w:spacing w:after="0" w:line="219"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payable reduction of $1.0 million</w:t>
      </w:r>
    </w:p>
    <w:p>
      <w:pPr>
        <w:ind w:left="1240" w:hanging="310"/>
        <w:spacing w:after="0" w:line="203"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compensation and related payroll taxes reduction of $12.0 million</w:t>
      </w:r>
    </w:p>
    <w:p>
      <w:pPr>
        <w:ind w:left="1240" w:hanging="310"/>
        <w:spacing w:after="0" w:line="203"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liability of $7.4 million</w:t>
      </w:r>
    </w:p>
    <w:p>
      <w:pPr>
        <w:ind w:left="1240" w:hanging="310"/>
        <w:spacing w:after="0" w:line="219"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portion of long-term debt reduction of $137.2 million</w:t>
      </w:r>
    </w:p>
    <w:p>
      <w:pPr>
        <w:ind w:left="1240" w:hanging="310"/>
        <w:spacing w:after="0" w:line="203"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current portion reduction of $0.4 million</w:t>
      </w:r>
    </w:p>
    <w:p>
      <w:pPr>
        <w:ind w:left="1240" w:hanging="310"/>
        <w:spacing w:after="0" w:line="203"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accrued liabilities reduction of $8.7 million</w:t>
      </w:r>
    </w:p>
    <w:p>
      <w:pPr>
        <w:ind w:left="1240" w:hanging="310"/>
        <w:spacing w:after="0" w:line="219"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non-current portion reduction of $0.3 million</w:t>
      </w:r>
    </w:p>
    <w:p>
      <w:pPr>
        <w:ind w:left="1240" w:hanging="310"/>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liabilities reduction of $1.0 million</w:t>
      </w:r>
    </w:p>
    <w:p>
      <w:pPr>
        <w:spacing w:after="0" w:line="7" w:lineRule="exact"/>
        <w:rPr>
          <w:sz w:val="20"/>
          <w:szCs w:val="20"/>
          <w:color w:val="auto"/>
        </w:rPr>
      </w:pPr>
    </w:p>
    <w:p>
      <w:pPr>
        <w:ind w:left="600" w:right="80" w:hanging="579"/>
        <w:spacing w:after="0" w:line="234" w:lineRule="auto"/>
        <w:tabs>
          <w:tab w:leader="none" w:pos="580" w:val="left"/>
        </w:tabs>
        <w:rPr>
          <w:sz w:val="20"/>
          <w:szCs w:val="20"/>
          <w:color w:val="auto"/>
        </w:rPr>
      </w:pPr>
      <w:r>
        <w:rPr>
          <w:rFonts w:ascii="Times New Roman" w:cs="Times New Roman" w:eastAsia="Times New Roman" w:hAnsi="Times New Roman"/>
          <w:sz w:val="18"/>
          <w:szCs w:val="18"/>
          <w:color w:val="auto"/>
        </w:rPr>
        <w:t>4(b)</w:t>
        <w:tab/>
        <w:t>Reflects the cash payment of $403.2 million to Seller upon closing of the Acquisition and $10.7 million of transaction costs paid by the Company in connection with the Acquisition that were not included in the Purchase Price.</w:t>
      </w:r>
    </w:p>
    <w:p>
      <w:pPr>
        <w:spacing w:after="0" w:line="10" w:lineRule="exact"/>
        <w:rPr>
          <w:sz w:val="20"/>
          <w:szCs w:val="20"/>
          <w:color w:val="auto"/>
        </w:rPr>
      </w:pPr>
    </w:p>
    <w:p>
      <w:pPr>
        <w:ind w:left="600" w:right="60" w:hanging="579"/>
        <w:spacing w:after="0" w:line="222" w:lineRule="auto"/>
        <w:tabs>
          <w:tab w:leader="none" w:pos="580" w:val="left"/>
        </w:tabs>
        <w:rPr>
          <w:sz w:val="20"/>
          <w:szCs w:val="20"/>
          <w:color w:val="auto"/>
        </w:rPr>
      </w:pPr>
      <w:r>
        <w:rPr>
          <w:rFonts w:ascii="Times New Roman" w:cs="Times New Roman" w:eastAsia="Times New Roman" w:hAnsi="Times New Roman"/>
          <w:sz w:val="18"/>
          <w:szCs w:val="18"/>
          <w:color w:val="auto"/>
        </w:rPr>
        <w:t>4(c)</w:t>
        <w:tab/>
        <w:t>Reflects proceeds of $390.0 million received from the existing $1.5 billion revolving credit facility to partially fund the Acquisition. Additional interest expense incurred was calculated using an interest rate of 5.5%, which is the borrowing rate on the date of the transaction. The interest rate</w:t>
      </w:r>
    </w:p>
    <w:p>
      <w:pPr>
        <w:spacing w:after="0" w:line="2" w:lineRule="exact"/>
        <w:rPr>
          <w:sz w:val="20"/>
          <w:szCs w:val="20"/>
          <w:color w:val="auto"/>
        </w:rPr>
      </w:pPr>
    </w:p>
    <w:p>
      <w:pPr>
        <w:jc w:val="both"/>
        <w:ind w:left="600" w:right="20"/>
        <w:spacing w:after="0" w:line="218" w:lineRule="auto"/>
        <w:rPr>
          <w:sz w:val="20"/>
          <w:szCs w:val="20"/>
          <w:color w:val="auto"/>
        </w:rPr>
      </w:pPr>
      <w:r>
        <w:rPr>
          <w:rFonts w:ascii="Times New Roman" w:cs="Times New Roman" w:eastAsia="Times New Roman" w:hAnsi="Times New Roman"/>
          <w:sz w:val="18"/>
          <w:szCs w:val="18"/>
          <w:color w:val="auto"/>
        </w:rPr>
        <w:t>on the revolving credit facility adjusts monthly based on a reference to the Secured Overnight Financing Rate (SOFR). If the interest rates were to increase or decrease by 0.125% from the rate assumed, pro forma interest expense would change by approximately $0.2 million for the six months ended May 31, 2026 and $0.5 million for the year ended November 30, 2025.</w:t>
      </w:r>
    </w:p>
    <w:p>
      <w:pPr>
        <w:spacing w:after="0" w:line="10" w:lineRule="exact"/>
        <w:rPr>
          <w:sz w:val="20"/>
          <w:szCs w:val="20"/>
          <w:color w:val="auto"/>
        </w:rPr>
      </w:pPr>
    </w:p>
    <w:p>
      <w:pPr>
        <w:ind w:left="600" w:right="380" w:hanging="579"/>
        <w:spacing w:after="0" w:line="236" w:lineRule="auto"/>
        <w:tabs>
          <w:tab w:leader="none" w:pos="580" w:val="left"/>
        </w:tabs>
        <w:rPr>
          <w:sz w:val="20"/>
          <w:szCs w:val="20"/>
          <w:color w:val="auto"/>
        </w:rPr>
      </w:pPr>
      <w:r>
        <w:rPr>
          <w:rFonts w:ascii="Times New Roman" w:cs="Times New Roman" w:eastAsia="Times New Roman" w:hAnsi="Times New Roman"/>
          <w:sz w:val="17"/>
          <w:szCs w:val="17"/>
          <w:color w:val="auto"/>
        </w:rPr>
        <w:t>4(d)</w:t>
      </w:r>
      <w:r>
        <w:rPr>
          <w:sz w:val="20"/>
          <w:szCs w:val="20"/>
          <w:color w:val="auto"/>
        </w:rPr>
        <w:tab/>
      </w:r>
      <w:r>
        <w:rPr>
          <w:rFonts w:ascii="Times New Roman" w:cs="Times New Roman" w:eastAsia="Times New Roman" w:hAnsi="Times New Roman"/>
          <w:sz w:val="17"/>
          <w:szCs w:val="17"/>
          <w:color w:val="auto"/>
        </w:rPr>
        <w:t>Reflects the elimination of the incremental costs of obtaining a contract with a customer (deferred contract costs) of $17.6 million and $25.6 million from other current assets and other assets, respectively, as these costs are reflected in the value of the customer relationship intangible</w:t>
      </w:r>
    </w:p>
    <w:p>
      <w:pPr>
        <w:ind w:left="600"/>
        <w:spacing w:after="0"/>
        <w:rPr>
          <w:sz w:val="20"/>
          <w:szCs w:val="20"/>
          <w:color w:val="auto"/>
        </w:rPr>
      </w:pPr>
      <w:r>
        <w:rPr>
          <w:rFonts w:ascii="Times New Roman" w:cs="Times New Roman" w:eastAsia="Times New Roman" w:hAnsi="Times New Roman"/>
          <w:sz w:val="18"/>
          <w:szCs w:val="18"/>
          <w:color w:val="auto"/>
        </w:rPr>
        <w:t>asset.</w:t>
      </w:r>
    </w:p>
    <w:p>
      <w:pPr>
        <w:spacing w:after="0" w:line="7" w:lineRule="exact"/>
        <w:rPr>
          <w:sz w:val="20"/>
          <w:szCs w:val="20"/>
          <w:color w:val="auto"/>
        </w:rPr>
      </w:pPr>
    </w:p>
    <w:p>
      <w:pPr>
        <w:ind w:left="600" w:right="300" w:hanging="579"/>
        <w:spacing w:after="0" w:line="234" w:lineRule="auto"/>
        <w:tabs>
          <w:tab w:leader="none" w:pos="580" w:val="left"/>
        </w:tabs>
        <w:rPr>
          <w:sz w:val="20"/>
          <w:szCs w:val="20"/>
          <w:color w:val="auto"/>
        </w:rPr>
      </w:pPr>
      <w:r>
        <w:rPr>
          <w:rFonts w:ascii="Times New Roman" w:cs="Times New Roman" w:eastAsia="Times New Roman" w:hAnsi="Times New Roman"/>
          <w:sz w:val="18"/>
          <w:szCs w:val="18"/>
          <w:color w:val="auto"/>
        </w:rPr>
        <w:t>4(e)</w:t>
        <w:tab/>
        <w:t>Reflects the elimination of the capitalized internal-use software development costs of $25.9 million from property and equipment, net, as these costs are reflected in the value of the purchased technology intangible asset.</w:t>
      </w:r>
    </w:p>
    <w:p>
      <w:pPr>
        <w:spacing w:after="0" w:line="10" w:lineRule="exact"/>
        <w:rPr>
          <w:sz w:val="20"/>
          <w:szCs w:val="20"/>
          <w:color w:val="auto"/>
        </w:rPr>
      </w:pPr>
    </w:p>
    <w:p>
      <w:pPr>
        <w:ind w:left="600" w:right="240" w:hanging="579"/>
        <w:spacing w:after="0" w:line="236" w:lineRule="auto"/>
        <w:tabs>
          <w:tab w:leader="none" w:pos="580" w:val="left"/>
        </w:tabs>
        <w:rPr>
          <w:sz w:val="20"/>
          <w:szCs w:val="20"/>
          <w:color w:val="auto"/>
        </w:rPr>
      </w:pPr>
      <w:r>
        <w:rPr>
          <w:rFonts w:ascii="Times New Roman" w:cs="Times New Roman" w:eastAsia="Times New Roman" w:hAnsi="Times New Roman"/>
          <w:sz w:val="17"/>
          <w:szCs w:val="17"/>
          <w:color w:val="auto"/>
        </w:rPr>
        <w:t>4(f)</w:t>
      </w:r>
      <w:r>
        <w:rPr>
          <w:sz w:val="20"/>
          <w:szCs w:val="20"/>
          <w:color w:val="auto"/>
        </w:rPr>
        <w:tab/>
      </w:r>
      <w:r>
        <w:rPr>
          <w:rFonts w:ascii="Times New Roman" w:cs="Times New Roman" w:eastAsia="Times New Roman" w:hAnsi="Times New Roman"/>
          <w:sz w:val="17"/>
          <w:szCs w:val="17"/>
          <w:color w:val="auto"/>
        </w:rPr>
        <w:t>Reflects the adjustment of Domo's historical identifiable intangible assets to their preliminary estimated fair values, including $188.0 million of customer relationships, $103.0 million of purchased technology, and $11.5 million of trade names, all of which were definite-lived intangible</w:t>
      </w:r>
    </w:p>
    <w:p>
      <w:pPr>
        <w:jc w:val="both"/>
        <w:ind w:left="600" w:right="60"/>
        <w:spacing w:after="0" w:line="208" w:lineRule="auto"/>
        <w:rPr>
          <w:sz w:val="20"/>
          <w:szCs w:val="20"/>
          <w:color w:val="auto"/>
        </w:rPr>
      </w:pPr>
      <w:r>
        <w:rPr>
          <w:rFonts w:ascii="Times New Roman" w:cs="Times New Roman" w:eastAsia="Times New Roman" w:hAnsi="Times New Roman"/>
          <w:sz w:val="18"/>
          <w:szCs w:val="18"/>
          <w:color w:val="auto"/>
        </w:rPr>
        <w:t>assets. For the purpose of determining pro forma amortization expense to be recorded in the unaudited pro forma condensed combined statements of operations, the total estimated fair value of each identifiable intangible asset was assumed to have a useful life of five years. For the six months ended July 31, 2026, Domo recognized $0.3 million of amortization expense in general and administrative. For the year ended January 31, 2026,</w:t>
      </w:r>
    </w:p>
    <w:p>
      <w:pPr>
        <w:spacing w:after="0" w:line="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Domo recognized $0.6 million of amortization expense in general and administrative.</w:t>
      </w:r>
    </w:p>
    <w:p>
      <w:pPr>
        <w:spacing w:after="0" w:line="7"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4(g)</w:t>
        <w:tab/>
        <w:t>Reflects the elimination of Domo's historical goodwill balance.</w:t>
      </w:r>
    </w:p>
    <w:p>
      <w:pPr>
        <w:spacing w:after="0" w:line="23" w:lineRule="exact"/>
        <w:rPr>
          <w:sz w:val="20"/>
          <w:szCs w:val="20"/>
          <w:color w:val="auto"/>
        </w:rPr>
      </w:pPr>
    </w:p>
    <w:p>
      <w:pPr>
        <w:ind w:left="600" w:right="760" w:hanging="579"/>
        <w:spacing w:after="0" w:line="234" w:lineRule="auto"/>
        <w:tabs>
          <w:tab w:leader="none" w:pos="580" w:val="left"/>
        </w:tabs>
        <w:rPr>
          <w:sz w:val="20"/>
          <w:szCs w:val="20"/>
          <w:color w:val="auto"/>
        </w:rPr>
      </w:pPr>
      <w:r>
        <w:rPr>
          <w:rFonts w:ascii="Times New Roman" w:cs="Times New Roman" w:eastAsia="Times New Roman" w:hAnsi="Times New Roman"/>
          <w:sz w:val="18"/>
          <w:szCs w:val="18"/>
          <w:color w:val="auto"/>
        </w:rPr>
        <w:t>4(h)</w:t>
        <w:tab/>
        <w:t>Reflects estimated goodwill resulting from the preliminary allocation of the Acquisition Purchase Price to the estimated fair value of the identifiable assets acquired and liabilities assumed in the Acquisition. See Note 3: Transaction Summary above for further information.</w:t>
      </w:r>
    </w:p>
    <w:p>
      <w:pPr>
        <w:spacing w:after="0" w:line="10" w:lineRule="exact"/>
        <w:rPr>
          <w:sz w:val="20"/>
          <w:szCs w:val="20"/>
          <w:color w:val="auto"/>
        </w:rPr>
      </w:pPr>
    </w:p>
    <w:p>
      <w:pPr>
        <w:ind w:left="600" w:right="260" w:hanging="579"/>
        <w:spacing w:after="0" w:line="237" w:lineRule="auto"/>
        <w:tabs>
          <w:tab w:leader="none" w:pos="580" w:val="left"/>
        </w:tabs>
        <w:rPr>
          <w:sz w:val="20"/>
          <w:szCs w:val="20"/>
          <w:color w:val="auto"/>
        </w:rPr>
      </w:pPr>
      <w:r>
        <w:rPr>
          <w:rFonts w:ascii="Times New Roman" w:cs="Times New Roman" w:eastAsia="Times New Roman" w:hAnsi="Times New Roman"/>
          <w:sz w:val="18"/>
          <w:szCs w:val="18"/>
          <w:color w:val="auto"/>
        </w:rPr>
        <w:t>4(i)</w:t>
      </w:r>
      <w:r>
        <w:rPr>
          <w:sz w:val="20"/>
          <w:szCs w:val="20"/>
          <w:color w:val="auto"/>
        </w:rPr>
        <w:tab/>
      </w:r>
      <w:r>
        <w:rPr>
          <w:rFonts w:ascii="Times New Roman" w:cs="Times New Roman" w:eastAsia="Times New Roman" w:hAnsi="Times New Roman"/>
          <w:sz w:val="18"/>
          <w:szCs w:val="18"/>
          <w:color w:val="auto"/>
        </w:rPr>
        <w:t>Reflects $35.1 million of deferred tax asset related to the deferred revenue balance of Domo, which was calculated using an estimated statutory income tax rate of 24.0% (federal and state). Progress is not responsible for the tax when this revenue is recognized by the Company.</w:t>
      </w:r>
    </w:p>
    <w:p>
      <w:pPr>
        <w:spacing w:after="0" w:line="10"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4(j)</w:t>
      </w:r>
      <w:r>
        <w:rPr>
          <w:sz w:val="20"/>
          <w:szCs w:val="20"/>
          <w:color w:val="auto"/>
        </w:rPr>
        <w:tab/>
      </w:r>
      <w:r>
        <w:rPr>
          <w:rFonts w:ascii="Times New Roman" w:cs="Times New Roman" w:eastAsia="Times New Roman" w:hAnsi="Times New Roman"/>
          <w:sz w:val="18"/>
          <w:szCs w:val="18"/>
          <w:color w:val="auto"/>
        </w:rPr>
        <w:t>Reflects the elimination of Domo's historical equity.</w:t>
      </w:r>
    </w:p>
    <w:p>
      <w:pPr>
        <w:spacing w:after="0" w:line="27"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4(k)</w:t>
        <w:tab/>
        <w:t>Reflects the reversal of Domo's historical deferred contract costs amortization expense related to the elimination in Note 4(d) above.</w:t>
      </w:r>
    </w:p>
    <w:p>
      <w:pPr>
        <w:spacing w:after="0" w:line="23" w:lineRule="exact"/>
        <w:rPr>
          <w:sz w:val="20"/>
          <w:szCs w:val="20"/>
          <w:color w:val="auto"/>
        </w:rPr>
      </w:pPr>
    </w:p>
    <w:p>
      <w:pPr>
        <w:ind w:left="600" w:right="220" w:hanging="579"/>
        <w:spacing w:after="0" w:line="234" w:lineRule="auto"/>
        <w:tabs>
          <w:tab w:leader="none" w:pos="580" w:val="left"/>
        </w:tabs>
        <w:rPr>
          <w:sz w:val="20"/>
          <w:szCs w:val="20"/>
          <w:color w:val="auto"/>
        </w:rPr>
      </w:pPr>
      <w:r>
        <w:rPr>
          <w:rFonts w:ascii="Times New Roman" w:cs="Times New Roman" w:eastAsia="Times New Roman" w:hAnsi="Times New Roman"/>
          <w:sz w:val="18"/>
          <w:szCs w:val="18"/>
          <w:color w:val="auto"/>
        </w:rPr>
        <w:t>4(l)</w:t>
      </w:r>
      <w:r>
        <w:rPr>
          <w:sz w:val="20"/>
          <w:szCs w:val="20"/>
          <w:color w:val="auto"/>
        </w:rPr>
        <w:tab/>
      </w:r>
      <w:r>
        <w:rPr>
          <w:rFonts w:ascii="Times New Roman" w:cs="Times New Roman" w:eastAsia="Times New Roman" w:hAnsi="Times New Roman"/>
          <w:sz w:val="18"/>
          <w:szCs w:val="18"/>
          <w:color w:val="auto"/>
        </w:rPr>
        <w:t>Reflects the reversal of Domo's historical capitalized internal-use software development costs amortization expense related to the elimination in Note 4(e) above.</w:t>
      </w:r>
    </w:p>
    <w:p>
      <w:pPr>
        <w:ind w:left="20"/>
        <w:spacing w:after="0" w:line="238" w:lineRule="auto"/>
        <w:tabs>
          <w:tab w:leader="none" w:pos="580" w:val="left"/>
        </w:tabs>
        <w:rPr>
          <w:sz w:val="20"/>
          <w:szCs w:val="20"/>
          <w:color w:val="auto"/>
        </w:rPr>
      </w:pPr>
      <w:r>
        <w:rPr>
          <w:rFonts w:ascii="Times New Roman" w:cs="Times New Roman" w:eastAsia="Times New Roman" w:hAnsi="Times New Roman"/>
          <w:sz w:val="18"/>
          <w:szCs w:val="18"/>
          <w:color w:val="auto"/>
        </w:rPr>
        <w:t>4(m)</w:t>
        <w:tab/>
        <w:t>The following adjustments reflect reductions in expenses related to assets not acquired and liabilities not assumed in connection with the</w:t>
      </w:r>
    </w:p>
    <w:p>
      <w:pPr>
        <w:ind w:left="600"/>
        <w:spacing w:after="0" w:line="219" w:lineRule="auto"/>
        <w:rPr>
          <w:sz w:val="20"/>
          <w:szCs w:val="20"/>
          <w:color w:val="auto"/>
        </w:rPr>
      </w:pPr>
      <w:r>
        <w:rPr>
          <w:rFonts w:ascii="Times New Roman" w:cs="Times New Roman" w:eastAsia="Times New Roman" w:hAnsi="Times New Roman"/>
          <w:sz w:val="18"/>
          <w:szCs w:val="18"/>
          <w:color w:val="auto"/>
        </w:rPr>
        <w:t>Acquisition, see Note 4(a):</w:t>
      </w:r>
    </w:p>
    <w:p>
      <w:pPr>
        <w:ind w:left="1240" w:hanging="310"/>
        <w:spacing w:after="0" w:line="203"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activity related to subsidiaries not acquired.</w:t>
      </w:r>
    </w:p>
    <w:p>
      <w:pPr>
        <w:ind w:left="1240" w:hanging="310"/>
        <w:spacing w:after="0" w:line="203" w:lineRule="auto"/>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remeasurement of warranty liability as the related indebtedness was not assumed.</w:t>
      </w:r>
    </w:p>
    <w:p>
      <w:pPr>
        <w:ind w:left="1240" w:hanging="310"/>
        <w:spacing w:after="0"/>
        <w:tabs>
          <w:tab w:leader="none" w:pos="1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Elimination of interest expense as the related indebtedness was not assumed.</w:t>
      </w:r>
    </w:p>
    <w:p>
      <w:pPr>
        <w:spacing w:after="0" w:line="5"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4(n)</w:t>
        <w:tab/>
        <w:t>Reflects the adjustment to income tax expense on the pro forma adjustments for the six months ended May 31, 2026 and the year ended November</w:t>
      </w:r>
    </w:p>
    <w:p>
      <w:pPr>
        <w:ind w:left="600"/>
        <w:spacing w:after="0"/>
        <w:rPr>
          <w:sz w:val="20"/>
          <w:szCs w:val="20"/>
          <w:color w:val="auto"/>
        </w:rPr>
      </w:pPr>
      <w:r>
        <w:rPr>
          <w:rFonts w:ascii="Times New Roman" w:cs="Times New Roman" w:eastAsia="Times New Roman" w:hAnsi="Times New Roman"/>
          <w:sz w:val="18"/>
          <w:szCs w:val="18"/>
          <w:color w:val="auto"/>
        </w:rPr>
        <w:t>30, 2025, using an estimated statutory income tax rate of 24.0% (federal and state) for both periods.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sectPr>
      <w:pgSz w:w="11900" w:h="16838" w:orient="portrait"/>
      <w:cols w:equalWidth="0" w:num="1">
        <w:col w:w="11180"/>
      </w:cols>
      <w:pgMar w:left="320" w:top="769"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4" Type="http://schemas.openxmlformats.org/officeDocument/2006/relationships/hyperlink" Target="https://www.sec.gov/ix?doc=/Archives/edgar/data/0001505952/000162828026025356/domo-20260131.htm" TargetMode="External"/><Relationship Id="rId15" Type="http://schemas.openxmlformats.org/officeDocument/2006/relationships/hyperlink" Target="https://www.sec.gov/ix?doc=/Archives/edgar/data/0001505952/000162828026060537/domo10q-202607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2026-10-29T16:51:07Z</dcterms:created>
  <dcterms:modified xsi:type="dcterms:W3CDTF">2026-10-29T16:51:07Z</dcterms:modified>
</cp:coreProperties>
</file>