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4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Jarrett Loren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80"/>
        <w:spacing w:after="0" w:line="384"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480"/>
              <w:spacing w:after="0" w:line="182" w:lineRule="exact"/>
              <w:rPr>
                <w:sz w:val="20"/>
                <w:szCs w:val="20"/>
                <w:color w:val="auto"/>
              </w:rPr>
            </w:pPr>
            <w:r>
              <w:rPr>
                <w:rFonts w:ascii="Times New Roman" w:cs="Times New Roman" w:eastAsia="Times New Roman" w:hAnsi="Times New Roman"/>
                <w:sz w:val="17"/>
                <w:szCs w:val="17"/>
                <w:color w:val="0000FF"/>
              </w:rPr>
              <w:t>EVP/GM Digital Experience</w:t>
            </w:r>
          </w:p>
        </w:tc>
        <w:tc>
          <w:tcPr>
            <w:tcW w:w="0" w:type="dxa"/>
            <w:vAlign w:val="bottom"/>
          </w:tcPr>
          <w:p>
            <w:pPr>
              <w:spacing w:after="0"/>
              <w:rPr>
                <w:sz w:val="1"/>
                <w:szCs w:val="1"/>
                <w:color w:val="auto"/>
              </w:rPr>
            </w:pPr>
          </w:p>
        </w:tc>
      </w:tr>
      <w:tr>
        <w:trPr>
          <w:trHeight w:val="219"/>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76"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4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1,168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20,854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495</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20,359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1,167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21,526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495</w:t>
            </w:r>
            <w:r>
              <w:rPr>
                <w:rFonts w:ascii="Times New Roman" w:cs="Times New Roman" w:eastAsia="Times New Roman" w:hAnsi="Times New Roman"/>
                <w:sz w:val="11"/>
                <w:szCs w:val="11"/>
                <w:color w:val="008000"/>
              </w:rPr>
              <w:t>(3)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21,031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1,709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22,740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724</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22,016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16"/>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6"/>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88"/>
              </w:rPr>
              <w:t>(Instr. 5)</w:t>
            </w:r>
          </w:p>
        </w:tc>
        <w:tc>
          <w:tcPr>
            <w:tcW w:w="2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ind w:right="53"/>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1,168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1,168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1,167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1,167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2,336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(7)</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1,709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6,837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Progress Software Corporation (the "Company") to pay the tax withholding obligations of the Reporting Person upon the vesting of restricted stock units granted to the Reporting Person on January 19, 2023.</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7,003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7,004 restricted stock units pursuant to the Plan. The restricted stock units vest in six equal semiannual installments beginning October 1, 2024,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YuFan Stephanie Wang,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76"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721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0308"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2026-04-03T15:19:57Z</dcterms:created>
  <dcterms:modified xsi:type="dcterms:W3CDTF">2026-04-03T15:19:57Z</dcterms:modified>
</cp:coreProperties>
</file>