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785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8561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LoCoco Domenic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300"/>
        <w:spacing w:after="0" w:line="385"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080" w:type="dxa"/>
            <w:vAlign w:val="bottom"/>
            <w:gridSpan w:val="2"/>
          </w:tcPr>
          <w:p>
            <w:pPr>
              <w:ind w:left="580"/>
              <w:spacing w:after="0" w:line="183" w:lineRule="exact"/>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9"/>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48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rPr>
              <w:t>886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12"/>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4"/>
          </w:tcPr>
          <w:p>
            <w:pPr>
              <w:jc w:val="center"/>
              <w:ind w:left="36"/>
              <w:spacing w:after="0"/>
              <w:rPr>
                <w:sz w:val="20"/>
                <w:szCs w:val="20"/>
                <w:color w:val="auto"/>
              </w:rPr>
            </w:pPr>
            <w:r>
              <w:rPr>
                <w:rFonts w:ascii="Times New Roman" w:cs="Times New Roman" w:eastAsia="Times New Roman" w:hAnsi="Times New Roman"/>
                <w:sz w:val="17"/>
                <w:szCs w:val="17"/>
                <w:color w:val="0000FF"/>
                <w:w w:val="91"/>
              </w:rPr>
              <w:t>8,896</w:t>
            </w:r>
            <w:r>
              <w:rPr>
                <w:rFonts w:ascii="Times New Roman" w:cs="Times New Roman" w:eastAsia="Times New Roman" w:hAnsi="Times New Roman"/>
                <w:sz w:val="21"/>
                <w:szCs w:val="21"/>
                <w:color w:val="008000"/>
                <w:w w:val="91"/>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0"/>
              </w:rPr>
              <w:t>261</w:t>
            </w:r>
            <w:r>
              <w:rPr>
                <w:rFonts w:ascii="Times New Roman" w:cs="Times New Roman" w:eastAsia="Times New Roman" w:hAnsi="Times New Roman"/>
                <w:sz w:val="21"/>
                <w:szCs w:val="21"/>
                <w:color w:val="008000"/>
                <w:w w:val="90"/>
                <w:vertAlign w:val="superscript"/>
              </w:rPr>
              <w:t>(3)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99"/>
              </w:rPr>
              <w:t>8,635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rPr>
              <w:t>807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12"/>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99"/>
              </w:rPr>
              <w:t>9,442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0"/>
              </w:rPr>
              <w:t>237</w:t>
            </w:r>
            <w:r>
              <w:rPr>
                <w:rFonts w:ascii="Times New Roman" w:cs="Times New Roman" w:eastAsia="Times New Roman" w:hAnsi="Times New Roman"/>
                <w:sz w:val="21"/>
                <w:szCs w:val="21"/>
                <w:color w:val="008000"/>
                <w:w w:val="90"/>
                <w:vertAlign w:val="superscript"/>
              </w:rPr>
              <w:t>(4)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99"/>
              </w:rPr>
              <w:t>9,205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rPr>
              <w:t>924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12"/>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4"/>
          </w:tcPr>
          <w:p>
            <w:pPr>
              <w:jc w:val="center"/>
              <w:ind w:left="36"/>
              <w:spacing w:after="0"/>
              <w:rPr>
                <w:sz w:val="20"/>
                <w:szCs w:val="20"/>
                <w:color w:val="auto"/>
              </w:rPr>
            </w:pPr>
            <w:r>
              <w:rPr>
                <w:rFonts w:ascii="Times New Roman" w:cs="Times New Roman" w:eastAsia="Times New Roman" w:hAnsi="Times New Roman"/>
                <w:sz w:val="17"/>
                <w:szCs w:val="17"/>
                <w:color w:val="0000FF"/>
                <w:w w:val="98"/>
              </w:rPr>
              <w:t>10,129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88"/>
              <w:spacing w:after="0"/>
              <w:rPr>
                <w:sz w:val="20"/>
                <w:szCs w:val="20"/>
                <w:color w:val="auto"/>
              </w:rPr>
            </w:pPr>
            <w:r>
              <w:rPr>
                <w:rFonts w:ascii="Times New Roman" w:cs="Times New Roman" w:eastAsia="Times New Roman" w:hAnsi="Times New Roman"/>
                <w:sz w:val="17"/>
                <w:szCs w:val="17"/>
                <w:color w:val="0000FF"/>
                <w:w w:val="98"/>
              </w:rPr>
              <w:t>04/01/2026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0"/>
              </w:rPr>
              <w:t>272</w:t>
            </w:r>
            <w:r>
              <w:rPr>
                <w:rFonts w:ascii="Times New Roman" w:cs="Times New Roman" w:eastAsia="Times New Roman" w:hAnsi="Times New Roman"/>
                <w:sz w:val="21"/>
                <w:szCs w:val="21"/>
                <w:color w:val="008000"/>
                <w:w w:val="90"/>
                <w:vertAlign w:val="superscript"/>
              </w:rPr>
              <w:t>(5)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99"/>
              </w:rPr>
              <w:t>9,857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35"/>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33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35"/>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886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886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jc w:val="center"/>
              <w:ind w:left="56"/>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20" w:type="dxa"/>
            <w:vAlign w:val="bottom"/>
          </w:tcPr>
          <w:p>
            <w:pPr>
              <w:spacing w:after="0"/>
              <w:rPr>
                <w:sz w:val="5"/>
                <w:szCs w:val="5"/>
                <w:color w:val="auto"/>
              </w:rPr>
            </w:pPr>
          </w:p>
        </w:tc>
        <w:tc>
          <w:tcPr>
            <w:tcW w:w="600" w:type="dxa"/>
            <w:vAlign w:val="bottom"/>
            <w:vMerge w:val="restart"/>
          </w:tcPr>
          <w:p>
            <w:pPr>
              <w:jc w:val="center"/>
              <w:ind w:left="160"/>
              <w:spacing w:after="0" w:line="144"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jc w:val="center"/>
              <w:ind w:left="56"/>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20" w:type="dxa"/>
            <w:vAlign w:val="bottom"/>
          </w:tcPr>
          <w:p>
            <w:pPr>
              <w:spacing w:after="0"/>
              <w:rPr>
                <w:sz w:val="5"/>
                <w:szCs w:val="5"/>
                <w:color w:val="auto"/>
              </w:rPr>
            </w:pPr>
          </w:p>
        </w:tc>
        <w:tc>
          <w:tcPr>
            <w:tcW w:w="600" w:type="dxa"/>
            <w:vAlign w:val="bottom"/>
            <w:vMerge w:val="restart"/>
          </w:tcPr>
          <w:p>
            <w:pPr>
              <w:jc w:val="center"/>
              <w:ind w:left="160"/>
              <w:spacing w:after="0" w:line="144" w:lineRule="exact"/>
              <w:rPr>
                <w:sz w:val="20"/>
                <w:szCs w:val="20"/>
                <w:color w:val="auto"/>
              </w:rPr>
            </w:pPr>
            <w:r>
              <w:rPr>
                <w:rFonts w:ascii="Times New Roman" w:cs="Times New Roman" w:eastAsia="Times New Roman" w:hAnsi="Times New Roman"/>
                <w:sz w:val="13"/>
                <w:szCs w:val="13"/>
                <w:color w:val="0000FF"/>
              </w:rPr>
              <w:t>1,614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04/01/2026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924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restart"/>
          </w:tcPr>
          <w:p>
            <w:pPr>
              <w:jc w:val="center"/>
              <w:ind w:left="56"/>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20" w:type="dxa"/>
            <w:vAlign w:val="bottom"/>
          </w:tcPr>
          <w:p>
            <w:pPr>
              <w:spacing w:after="0"/>
              <w:rPr>
                <w:sz w:val="5"/>
                <w:szCs w:val="5"/>
                <w:color w:val="auto"/>
              </w:rPr>
            </w:pPr>
          </w:p>
        </w:tc>
        <w:tc>
          <w:tcPr>
            <w:tcW w:w="600" w:type="dxa"/>
            <w:vAlign w:val="bottom"/>
            <w:vMerge w:val="restart"/>
          </w:tcPr>
          <w:p>
            <w:pPr>
              <w:jc w:val="center"/>
              <w:ind w:left="160"/>
              <w:spacing w:after="0" w:line="144" w:lineRule="exact"/>
              <w:rPr>
                <w:sz w:val="20"/>
                <w:szCs w:val="20"/>
                <w:color w:val="auto"/>
              </w:rPr>
            </w:pPr>
            <w:r>
              <w:rPr>
                <w:rFonts w:ascii="Times New Roman" w:cs="Times New Roman" w:eastAsia="Times New Roman" w:hAnsi="Times New Roman"/>
                <w:sz w:val="13"/>
                <w:szCs w:val="13"/>
                <w:color w:val="0000FF"/>
              </w:rPr>
              <w:t>3,696</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-2825115</wp:posOffset>
            </wp:positionV>
            <wp:extent cx="29210" cy="2830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30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 shares of common stock acquired by the Reporting Person on September 30, 2025, through Progress Software Corporation's (the "Company's") Employee Stock Purchase Plan.</w:t>
      </w:r>
    </w:p>
    <w:p>
      <w:pPr>
        <w:spacing w:after="0" w:line="45"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19, 2023.</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4" w:lineRule="exact"/>
        <w:rPr>
          <w:rFonts w:ascii="Times New Roman" w:cs="Times New Roman" w:eastAsia="Times New Roman" w:hAnsi="Times New Roman"/>
          <w:sz w:val="13"/>
          <w:szCs w:val="13"/>
          <w:color w:val="008000"/>
        </w:rPr>
      </w:pPr>
    </w:p>
    <w:p>
      <w:pPr>
        <w:ind w:left="40" w:right="3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5,311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4" w:lineRule="exact"/>
        <w:rPr>
          <w:rFonts w:ascii="Times New Roman" w:cs="Times New Roman" w:eastAsia="Times New Roman" w:hAnsi="Times New Roman"/>
          <w:sz w:val="13"/>
          <w:szCs w:val="13"/>
          <w:color w:val="008000"/>
        </w:rPr>
      </w:pPr>
    </w:p>
    <w:p>
      <w:pPr>
        <w:ind w:left="40" w:right="4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4,842 restricted stock units pursuant to the Plan. The restricted stock units vest in six equal semiannual installments beginning October 1, 2024, subject to the continued employment of the Reporting Person with the Company.</w:t>
      </w:r>
    </w:p>
    <w:p>
      <w:pPr>
        <w:spacing w:after="0" w:line="14" w:lineRule="exact"/>
        <w:rPr>
          <w:rFonts w:ascii="Times New Roman" w:cs="Times New Roman" w:eastAsia="Times New Roman" w:hAnsi="Times New Roman"/>
          <w:sz w:val="13"/>
          <w:szCs w:val="13"/>
          <w:color w:val="008000"/>
        </w:rPr>
      </w:pPr>
    </w:p>
    <w:p>
      <w:pPr>
        <w:ind w:left="40" w:right="4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5,544 restricted stock units pursuant to the Plan. The restricted stock units vest in six equal semiannual installments beginning October 1, 2025, subject to the continued employment of the Reporting Person with the Company.</w:t>
      </w:r>
    </w:p>
    <w:p>
      <w:pPr>
        <w:sectPr>
          <w:pgSz w:w="11900" w:h="16838" w:orient="portrait"/>
          <w:cols w:equalWidth="0" w:num="1">
            <w:col w:w="11080"/>
          </w:cols>
          <w:pgMar w:left="460" w:top="216" w:right="359" w:bottom="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YuFan Stephanie Wang,</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04/03/2026</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6390"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2026-04-03T15:22:37Z</dcterms:created>
  <dcterms:modified xsi:type="dcterms:W3CDTF">2026-04-03T15:22:37Z</dcterms:modified>
</cp:coreProperties>
</file>