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9"/>
          <w:szCs w:val="19"/>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SECURITIES AND EXCHANGE COMMISSION</w:t>
      </w:r>
    </w:p>
    <w:p>
      <w:pPr>
        <w:spacing w:after="0" w:line="16"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85090</wp:posOffset>
            </wp:positionV>
            <wp:extent cx="11430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9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FORM 8-K</w:t>
      </w:r>
    </w:p>
    <w:p>
      <w:pPr>
        <w:spacing w:after="0" w:line="17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80"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March 28, 2023</w:t>
      </w:r>
    </w:p>
    <w:p>
      <w:pPr>
        <w:spacing w:after="0" w:line="13" w:lineRule="exact"/>
        <w:rPr>
          <w:sz w:val="24"/>
          <w:szCs w:val="24"/>
          <w:color w:val="auto"/>
        </w:rPr>
      </w:pPr>
    </w:p>
    <w:p>
      <w:pPr>
        <w:jc w:val="center"/>
        <w:ind w:right="-259"/>
        <w:spacing w:after="0"/>
        <w:rPr>
          <w:sz w:val="20"/>
          <w:szCs w:val="20"/>
          <w:color w:val="auto"/>
        </w:rPr>
      </w:pPr>
      <w:r>
        <w:rPr>
          <w:rFonts w:ascii="Arial" w:cs="Arial" w:eastAsia="Arial" w:hAnsi="Arial"/>
          <w:sz w:val="10"/>
          <w:szCs w:val="10"/>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85090</wp:posOffset>
            </wp:positionV>
            <wp:extent cx="11430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94"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Progress Software Corporation</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0"/>
          <w:szCs w:val="10"/>
          <w:color w:val="auto"/>
        </w:rPr>
        <w:t>(Exact name of registrant as specified in its charter)</w:t>
      </w:r>
    </w:p>
    <w:p>
      <w:pPr>
        <w:sectPr>
          <w:pgSz w:w="11900" w:h="16838" w:orient="portrait"/>
          <w:cols w:equalWidth="0" w:num="1">
            <w:col w:w="11040"/>
          </w:cols>
          <w:pgMar w:left="300" w:top="855" w:right="559" w:bottom="1440" w:gutter="0" w:footer="0" w:header="0"/>
        </w:sectPr>
      </w:pPr>
    </w:p>
    <w:p>
      <w:pPr>
        <w:spacing w:after="0" w:line="319"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0-19417</w:t>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04-2746201</w:t>
      </w:r>
    </w:p>
    <w:p>
      <w:pPr>
        <w:spacing w:after="0" w:line="47" w:lineRule="exact"/>
        <w:rPr>
          <w:sz w:val="24"/>
          <w:szCs w:val="24"/>
          <w:color w:val="auto"/>
        </w:rPr>
      </w:pPr>
    </w:p>
    <w:p>
      <w:pPr>
        <w:sectPr>
          <w:pgSz w:w="11900" w:h="16838" w:orient="portrait"/>
          <w:cols w:equalWidth="0" w:num="3">
            <w:col w:w="4860" w:space="720"/>
            <w:col w:w="1080" w:space="720"/>
            <w:col w:w="3660"/>
          </w:cols>
          <w:pgMar w:left="300" w:top="855" w:right="559" w:bottom="1440" w:gutter="0" w:footer="0" w:header="0"/>
          <w:type w:val="continuous"/>
        </w:sectPr>
      </w:pPr>
    </w:p>
    <w:p>
      <w:pPr>
        <w:ind w:left="2600"/>
        <w:spacing w:after="0"/>
        <w:rPr>
          <w:sz w:val="20"/>
          <w:szCs w:val="20"/>
          <w:color w:val="auto"/>
        </w:rPr>
      </w:pPr>
      <w:r>
        <w:rPr>
          <w:rFonts w:ascii="Arial" w:cs="Arial" w:eastAsia="Arial" w:hAnsi="Arial"/>
          <w:sz w:val="8"/>
          <w:szCs w:val="8"/>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(I.R.S. Employer Identification No.)</w:t>
      </w:r>
    </w:p>
    <w:p>
      <w:pPr>
        <w:spacing w:after="0" w:line="142" w:lineRule="exact"/>
        <w:rPr>
          <w:sz w:val="24"/>
          <w:szCs w:val="24"/>
          <w:color w:val="auto"/>
        </w:rPr>
      </w:pPr>
    </w:p>
    <w:p>
      <w:pPr>
        <w:sectPr>
          <w:pgSz w:w="11900" w:h="16838" w:orient="portrait"/>
          <w:cols w:equalWidth="0" w:num="3">
            <w:col w:w="4900" w:space="380"/>
            <w:col w:w="1000" w:space="700"/>
            <w:col w:w="4060"/>
          </w:cols>
          <w:pgMar w:left="300" w:top="855" w:right="559" w:bottom="1440" w:gutter="0" w:footer="0" w:header="0"/>
          <w:type w:val="continuous"/>
        </w:sectPr>
      </w:pPr>
    </w:p>
    <w:p>
      <w:pPr>
        <w:jc w:val="center"/>
        <w:ind w:right="-259"/>
        <w:spacing w:after="0"/>
        <w:rPr>
          <w:sz w:val="20"/>
          <w:szCs w:val="20"/>
          <w:color w:val="auto"/>
        </w:rPr>
      </w:pPr>
      <w:r>
        <w:rPr>
          <w:rFonts w:ascii="Arial" w:cs="Arial" w:eastAsia="Arial" w:hAnsi="Arial"/>
          <w:sz w:val="12"/>
          <w:szCs w:val="12"/>
          <w:b w:val="1"/>
          <w:bCs w:val="1"/>
          <w:color w:val="auto"/>
        </w:rPr>
        <w:t>15 Wayside Road, Suite 400</w:t>
      </w:r>
    </w:p>
    <w:p>
      <w:pPr>
        <w:spacing w:after="0" w:line="19"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Burlington, Massachusetts 01803</w:t>
      </w:r>
    </w:p>
    <w:p>
      <w:pPr>
        <w:jc w:val="center"/>
        <w:ind w:right="-259"/>
        <w:spacing w:after="0"/>
        <w:rPr>
          <w:sz w:val="20"/>
          <w:szCs w:val="20"/>
          <w:color w:val="auto"/>
        </w:rPr>
      </w:pPr>
      <w:r>
        <w:rPr>
          <w:rFonts w:ascii="Arial" w:cs="Arial" w:eastAsia="Arial" w:hAnsi="Arial"/>
          <w:sz w:val="10"/>
          <w:szCs w:val="10"/>
          <w:color w:val="auto"/>
        </w:rPr>
        <w:t>(Address of principal executive offices, including zip code)</w:t>
      </w:r>
    </w:p>
    <w:p>
      <w:pPr>
        <w:spacing w:after="0" w:line="103"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(781) 280-4000</w:t>
      </w:r>
    </w:p>
    <w:p>
      <w:pPr>
        <w:spacing w:after="0" w:line="13" w:lineRule="exact"/>
        <w:rPr>
          <w:sz w:val="24"/>
          <w:szCs w:val="24"/>
          <w:color w:val="auto"/>
        </w:rPr>
      </w:pPr>
    </w:p>
    <w:p>
      <w:pPr>
        <w:jc w:val="center"/>
        <w:ind w:right="-259"/>
        <w:spacing w:after="0"/>
        <w:rPr>
          <w:sz w:val="20"/>
          <w:szCs w:val="20"/>
          <w:color w:val="auto"/>
        </w:rPr>
      </w:pPr>
      <w:r>
        <w:rPr>
          <w:rFonts w:ascii="Arial" w:cs="Arial" w:eastAsia="Arial" w:hAnsi="Arial"/>
          <w:sz w:val="10"/>
          <w:szCs w:val="10"/>
          <w:color w:val="auto"/>
        </w:rPr>
        <w:t>(Registrant’s telephone number, including area code)</w:t>
      </w:r>
    </w:p>
    <w:p>
      <w:pPr>
        <w:spacing w:after="0" w:line="103"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Not applicable</w:t>
      </w:r>
    </w:p>
    <w:p>
      <w:pPr>
        <w:spacing w:after="0" w:line="13" w:lineRule="exact"/>
        <w:rPr>
          <w:sz w:val="24"/>
          <w:szCs w:val="24"/>
          <w:color w:val="auto"/>
        </w:rPr>
      </w:pPr>
    </w:p>
    <w:p>
      <w:pPr>
        <w:jc w:val="center"/>
        <w:ind w:right="-259"/>
        <w:spacing w:after="0"/>
        <w:rPr>
          <w:sz w:val="20"/>
          <w:szCs w:val="20"/>
          <w:color w:val="auto"/>
        </w:rPr>
      </w:pPr>
      <w:r>
        <w:rPr>
          <w:rFonts w:ascii="Arial" w:cs="Arial" w:eastAsia="Arial" w:hAnsi="Arial"/>
          <w:sz w:val="10"/>
          <w:szCs w:val="10"/>
          <w:color w:val="auto"/>
        </w:rPr>
        <w:t>(Former name or former address, if changed since last report.)</w:t>
      </w:r>
    </w:p>
    <w:p>
      <w:pPr>
        <w:spacing w:after="0" w:line="273" w:lineRule="exact"/>
        <w:rPr>
          <w:sz w:val="24"/>
          <w:szCs w:val="24"/>
          <w:color w:val="auto"/>
        </w:rPr>
      </w:pPr>
    </w:p>
    <w:p>
      <w:pPr>
        <w:spacing w:after="0"/>
        <w:rPr>
          <w:sz w:val="20"/>
          <w:szCs w:val="20"/>
          <w:color w:val="auto"/>
        </w:rPr>
      </w:pPr>
      <w:r>
        <w:rPr>
          <w:rFonts w:ascii="Arial" w:cs="Arial" w:eastAsia="Arial" w:hAnsi="Arial"/>
          <w:sz w:val="10"/>
          <w:szCs w:val="10"/>
          <w:color w:val="auto"/>
        </w:rPr>
        <w:t>Check the appropriate box below if the Form 8-K filing is intended to simultaneously satisfy the filing obligation of the registrant under any of the following provisions:</w:t>
      </w:r>
    </w:p>
    <w:p>
      <w:pPr>
        <w:spacing w:after="0" w:line="101" w:lineRule="exact"/>
        <w:rPr>
          <w:sz w:val="24"/>
          <w:szCs w:val="24"/>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98" w:lineRule="exact"/>
        <w:rPr>
          <w:rFonts w:ascii="MS PGothic" w:cs="MS PGothic" w:eastAsia="MS PGothic" w:hAnsi="MS PGothic"/>
          <w:sz w:val="12"/>
          <w:szCs w:val="12"/>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 CFR 240.14a-12)</w:t>
      </w:r>
    </w:p>
    <w:p>
      <w:pPr>
        <w:spacing w:after="0" w:line="107" w:lineRule="exact"/>
        <w:rPr>
          <w:rFonts w:ascii="MS PGothic" w:cs="MS PGothic" w:eastAsia="MS PGothic" w:hAnsi="MS PGothic"/>
          <w:sz w:val="12"/>
          <w:szCs w:val="12"/>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107" w:lineRule="exact"/>
        <w:rPr>
          <w:rFonts w:ascii="MS PGothic" w:cs="MS PGothic" w:eastAsia="MS PGothic" w:hAnsi="MS PGothic"/>
          <w:sz w:val="12"/>
          <w:szCs w:val="12"/>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13e-4(c) under the Exchange Act (17 CFR 240.13e-4(c))</w:t>
      </w:r>
    </w:p>
    <w:p>
      <w:pPr>
        <w:spacing w:after="0" w:line="234" w:lineRule="exact"/>
        <w:rPr>
          <w:sz w:val="24"/>
          <w:szCs w:val="24"/>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ectPr>
          <w:pgSz w:w="11900" w:h="16838" w:orient="portrait"/>
          <w:cols w:equalWidth="0" w:num="1">
            <w:col w:w="11040"/>
          </w:cols>
          <w:pgMar w:left="300" w:top="855" w:right="559" w:bottom="1440" w:gutter="0" w:footer="0" w:header="0"/>
          <w:type w:val="continuous"/>
        </w:sectPr>
      </w:pPr>
    </w:p>
    <w:p>
      <w:pPr>
        <w:spacing w:after="0" w:line="90" w:lineRule="exact"/>
        <w:rPr>
          <w:sz w:val="24"/>
          <w:szCs w:val="24"/>
          <w:color w:val="auto"/>
        </w:rPr>
      </w:pPr>
    </w:p>
    <w:p>
      <w:pPr>
        <w:jc w:val="center"/>
        <w:ind w:right="300"/>
        <w:spacing w:after="0"/>
        <w:rPr>
          <w:sz w:val="20"/>
          <w:szCs w:val="20"/>
          <w:color w:val="auto"/>
        </w:rPr>
      </w:pPr>
      <w:r>
        <w:rPr>
          <w:rFonts w:ascii="Arial" w:cs="Arial" w:eastAsia="Arial" w:hAnsi="Arial"/>
          <w:sz w:val="11"/>
          <w:szCs w:val="11"/>
          <w:color w:val="auto"/>
        </w:rPr>
        <w:t>Title of each class</w:t>
      </w:r>
    </w:p>
    <w:p>
      <w:pPr>
        <w:spacing w:after="0" w:line="14" w:lineRule="exact"/>
        <w:rPr>
          <w:sz w:val="24"/>
          <w:szCs w:val="24"/>
          <w:color w:val="auto"/>
        </w:rPr>
      </w:pPr>
    </w:p>
    <w:p>
      <w:pPr>
        <w:jc w:val="center"/>
        <w:ind w:right="300"/>
        <w:spacing w:after="0"/>
        <w:rPr>
          <w:sz w:val="20"/>
          <w:szCs w:val="20"/>
          <w:color w:val="auto"/>
        </w:rPr>
      </w:pPr>
      <w:r>
        <w:rPr>
          <w:rFonts w:ascii="Arial" w:cs="Arial" w:eastAsia="Arial" w:hAnsi="Arial"/>
          <w:sz w:val="9"/>
          <w:szCs w:val="9"/>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1460"/>
        <w:spacing w:after="0"/>
        <w:rPr>
          <w:sz w:val="20"/>
          <w:szCs w:val="20"/>
          <w:color w:val="auto"/>
        </w:rPr>
      </w:pPr>
      <w:r>
        <w:rPr>
          <w:rFonts w:ascii="Arial" w:cs="Arial" w:eastAsia="Arial" w:hAnsi="Arial"/>
          <w:sz w:val="9"/>
          <w:szCs w:val="9"/>
          <w:color w:val="auto"/>
        </w:rPr>
        <w:t>Trading Symbol(s)</w:t>
      </w:r>
    </w:p>
    <w:p>
      <w:pPr>
        <w:spacing w:after="0" w:line="37" w:lineRule="exact"/>
        <w:rPr>
          <w:sz w:val="24"/>
          <w:szCs w:val="24"/>
          <w:color w:val="auto"/>
        </w:rPr>
      </w:pPr>
    </w:p>
    <w:p>
      <w:pPr>
        <w:jc w:val="center"/>
        <w:ind w:right="1460"/>
        <w:spacing w:after="0"/>
        <w:rPr>
          <w:sz w:val="20"/>
          <w:szCs w:val="20"/>
          <w:color w:val="auto"/>
        </w:rPr>
      </w:pPr>
      <w:r>
        <w:rPr>
          <w:rFonts w:ascii="Arial" w:cs="Arial" w:eastAsia="Arial" w:hAnsi="Arial"/>
          <w:sz w:val="11"/>
          <w:szCs w:val="11"/>
          <w:b w:val="1"/>
          <w:bCs w:val="1"/>
          <w:color w:val="auto"/>
        </w:rPr>
        <w:t>PRGS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900"/>
        <w:spacing w:after="0"/>
        <w:rPr>
          <w:sz w:val="20"/>
          <w:szCs w:val="20"/>
          <w:color w:val="auto"/>
        </w:rPr>
      </w:pPr>
      <w:r>
        <w:rPr>
          <w:rFonts w:ascii="Arial" w:cs="Arial" w:eastAsia="Arial" w:hAnsi="Arial"/>
          <w:sz w:val="9"/>
          <w:szCs w:val="9"/>
          <w:color w:val="auto"/>
        </w:rPr>
        <w:t>Name of each exchange on which registered</w:t>
      </w:r>
    </w:p>
    <w:p>
      <w:pPr>
        <w:spacing w:after="0" w:line="37" w:lineRule="exact"/>
        <w:rPr>
          <w:sz w:val="24"/>
          <w:szCs w:val="24"/>
          <w:color w:val="auto"/>
        </w:rPr>
      </w:pPr>
    </w:p>
    <w:p>
      <w:pPr>
        <w:jc w:val="center"/>
        <w:ind w:right="900"/>
        <w:spacing w:after="0"/>
        <w:rPr>
          <w:sz w:val="20"/>
          <w:szCs w:val="20"/>
          <w:color w:val="auto"/>
        </w:rPr>
      </w:pPr>
      <w:r>
        <w:rPr>
          <w:rFonts w:ascii="Arial" w:cs="Arial" w:eastAsia="Arial" w:hAnsi="Arial"/>
          <w:sz w:val="11"/>
          <w:szCs w:val="11"/>
          <w:b w:val="1"/>
          <w:bCs w:val="1"/>
          <w:color w:val="auto"/>
        </w:rPr>
        <w:t>The Nasdaq Stock Market LLC</w:t>
      </w:r>
    </w:p>
    <w:p>
      <w:pPr>
        <w:spacing w:after="0" w:line="200" w:lineRule="exact"/>
        <w:rPr>
          <w:sz w:val="24"/>
          <w:szCs w:val="24"/>
          <w:color w:val="auto"/>
        </w:rPr>
      </w:pPr>
    </w:p>
    <w:p>
      <w:pPr>
        <w:sectPr>
          <w:pgSz w:w="11900" w:h="16838" w:orient="portrait"/>
          <w:cols w:equalWidth="0" w:num="3">
            <w:col w:w="4520" w:space="720"/>
            <w:col w:w="2260" w:space="720"/>
            <w:col w:w="2820"/>
          </w:cols>
          <w:pgMar w:left="300" w:top="855" w:right="55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80"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404495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40"/>
          </w:cols>
          <w:pgMar w:left="300" w:top="855"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72"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color w:val="auto"/>
        </w:rPr>
        <w:t>On March 28, 2023, Progress Software Corporation ("Progress") issued a press release announcing its financial results for the fiscal first quarter ended February 28, 2023. A copy of the press release is attached to this Current Report on Form 8-K as Exhibit 99.1 and is incorporated herein by reference.</w:t>
      </w:r>
    </w:p>
    <w:p>
      <w:pPr>
        <w:spacing w:after="0" w:line="133"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The information furnished pursuant to this Item 2.02, including Exhibit 99.1, shall not be deemed “filed” for purposes of Section 18 of the Securities Exchange Act of 1934, as amended (the "Exchange Act"), or otherwise subject to the liability of that Section, and shall not be incorporated by reference into any other filing by Progress under the Securities Act of 1933, as amended (the "Securities Act"), or the Exchange Act, whether made before or after the date of this report, regardless of any general incorporation language in the filing.</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72"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In connection with the issuance of the press release attached hereto as Exhibit 99.1, the supplemental data attached as Exhibit 99.2 to this Current Report will be available on the Progress website within the investor relations section prior to the live conference call.</w:t>
      </w:r>
    </w:p>
    <w:p>
      <w:pPr>
        <w:spacing w:after="0" w:line="133"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The information furnished pursuant to this Item 7.01, including Exhibit 99.2, shall not be deemed “filed” for purposes of Section 18 of the Exchange Act, or otherwise subject to the liability of that Section, and shall not be incorporated by reference into any other filing by Progress under the Securities Act or the Exchange Act, whether made before or after the date of this report, regardless of any general incorporation language in the filing.</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60" w:type="dxa"/>
            <w:vAlign w:val="bottom"/>
            <w:gridSpan w:val="2"/>
          </w:tcPr>
          <w:p>
            <w:pPr>
              <w:spacing w:after="0"/>
              <w:rPr>
                <w:sz w:val="20"/>
                <w:szCs w:val="20"/>
                <w:color w:val="auto"/>
              </w:rPr>
            </w:pPr>
            <w:r>
              <w:rPr>
                <w:rFonts w:ascii="Arial" w:cs="Arial" w:eastAsia="Arial" w:hAnsi="Arial"/>
                <w:sz w:val="12"/>
                <w:szCs w:val="12"/>
                <w:i w:val="1"/>
                <w:iCs w:val="1"/>
                <w:color w:val="auto"/>
              </w:rPr>
              <w:t>(d) Exhibits.</w:t>
            </w: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34"/>
        </w:trPr>
        <w:tc>
          <w:tcPr>
            <w:tcW w:w="1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Exhibit No.</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Description</w:t>
            </w:r>
          </w:p>
        </w:tc>
        <w:tc>
          <w:tcPr>
            <w:tcW w:w="40" w:type="dxa"/>
            <w:vAlign w:val="bottom"/>
          </w:tcPr>
          <w:p>
            <w:pPr>
              <w:spacing w:after="0"/>
              <w:rPr>
                <w:sz w:val="20"/>
                <w:szCs w:val="20"/>
                <w:color w:val="auto"/>
              </w:rPr>
            </w:pPr>
          </w:p>
        </w:tc>
      </w:tr>
      <w:tr>
        <w:trPr>
          <w:trHeight w:val="115"/>
        </w:trPr>
        <w:tc>
          <w:tcPr>
            <w:tcW w:w="1180" w:type="dxa"/>
            <w:vAlign w:val="bottom"/>
          </w:tcPr>
          <w:p>
            <w:pPr>
              <w:spacing w:after="0" w:line="115" w:lineRule="exact"/>
              <w:rPr>
                <w:sz w:val="20"/>
                <w:szCs w:val="20"/>
                <w:color w:val="auto"/>
              </w:rPr>
            </w:pPr>
            <w:r>
              <w:rPr>
                <w:rFonts w:ascii="Arial" w:cs="Arial" w:eastAsia="Arial" w:hAnsi="Arial"/>
                <w:sz w:val="12"/>
                <w:szCs w:val="12"/>
                <w:color w:val="auto"/>
              </w:rPr>
              <w:t>99.1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60" w:type="dxa"/>
            <w:vAlign w:val="bottom"/>
            <w:tcBorders>
              <w:bottom w:val="single" w:sz="8" w:color="0000FF"/>
            </w:tcBorders>
            <w:gridSpan w:val="2"/>
          </w:tcPr>
          <w:p>
            <w:pPr>
              <w:spacing w:after="0" w:line="115" w:lineRule="exact"/>
              <w:rPr>
                <w:sz w:val="20"/>
                <w:szCs w:val="20"/>
                <w:color w:val="auto"/>
              </w:rPr>
            </w:pPr>
            <w:r>
              <w:rPr>
                <w:rFonts w:ascii="Arial" w:cs="Arial" w:eastAsia="Arial" w:hAnsi="Arial"/>
                <w:sz w:val="12"/>
                <w:szCs w:val="12"/>
                <w:color w:val="0000FF"/>
                <w:w w:val="88"/>
              </w:rPr>
              <w:t>Press release issued by Progress Software Corporation on March 28, 2023</w:t>
            </w:r>
          </w:p>
        </w:tc>
        <w:tc>
          <w:tcPr>
            <w:tcW w:w="6460" w:type="dxa"/>
            <w:vAlign w:val="bottom"/>
            <w:gridSpan w:val="2"/>
          </w:tcPr>
          <w:p>
            <w:pPr>
              <w:spacing w:after="0"/>
              <w:rPr>
                <w:sz w:val="10"/>
                <w:szCs w:val="10"/>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20" w:type="dxa"/>
            <w:vAlign w:val="bottom"/>
            <w:gridSpan w:val="4"/>
          </w:tcPr>
          <w:p>
            <w:pPr>
              <w:spacing w:after="0" w:line="133" w:lineRule="exact"/>
              <w:rPr>
                <w:sz w:val="20"/>
                <w:szCs w:val="20"/>
                <w:color w:val="auto"/>
              </w:rPr>
            </w:pPr>
            <w:r>
              <w:rPr>
                <w:rFonts w:ascii="Arial" w:cs="Arial" w:eastAsia="Arial" w:hAnsi="Arial"/>
                <w:sz w:val="12"/>
                <w:szCs w:val="12"/>
                <w:color w:val="0000FF"/>
              </w:rPr>
              <w:t>Q1 2023 Supplemental Data</w:t>
            </w: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660" w:type="dxa"/>
            <w:vAlign w:val="bottom"/>
            <w:gridSpan w:val="3"/>
          </w:tcPr>
          <w:p>
            <w:pPr>
              <w:spacing w:after="0" w:line="20" w:lineRule="exact"/>
              <w:rPr>
                <w:sz w:val="1"/>
                <w:szCs w:val="1"/>
                <w:color w:val="auto"/>
              </w:rPr>
            </w:pPr>
          </w:p>
        </w:tc>
      </w:tr>
      <w:tr>
        <w:trPr>
          <w:trHeight w:val="160"/>
        </w:trPr>
        <w:tc>
          <w:tcPr>
            <w:tcW w:w="1180" w:type="dxa"/>
            <w:vAlign w:val="bottom"/>
          </w:tcPr>
          <w:p>
            <w:pPr>
              <w:spacing w:after="0"/>
              <w:rPr>
                <w:sz w:val="20"/>
                <w:szCs w:val="20"/>
                <w:color w:val="auto"/>
              </w:rPr>
            </w:pPr>
            <w:r>
              <w:rPr>
                <w:rFonts w:ascii="Arial" w:cs="Arial" w:eastAsia="Arial" w:hAnsi="Arial"/>
                <w:sz w:val="12"/>
                <w:szCs w:val="12"/>
                <w:color w:val="auto"/>
              </w:rPr>
              <w:t>104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4"/>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639"/>
        </w:trPr>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59"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3400" w:type="dxa"/>
            <w:vAlign w:val="bottom"/>
          </w:tcPr>
          <w:p>
            <w:pPr>
              <w:ind w:left="200"/>
              <w:spacing w:after="0"/>
              <w:rPr>
                <w:sz w:val="20"/>
                <w:szCs w:val="20"/>
                <w:color w:val="auto"/>
              </w:rPr>
            </w:pPr>
            <w:r>
              <w:rPr>
                <w:rFonts w:ascii="Arial" w:cs="Arial" w:eastAsia="Arial" w:hAnsi="Arial"/>
                <w:sz w:val="12"/>
                <w:szCs w:val="12"/>
                <w:color w:val="auto"/>
              </w:rPr>
              <w:t>March 28, 2023</w:t>
            </w:r>
          </w:p>
        </w:tc>
        <w:tc>
          <w:tcPr>
            <w:tcW w:w="7340" w:type="dxa"/>
            <w:vAlign w:val="bottom"/>
            <w:gridSpan w:val="2"/>
          </w:tcPr>
          <w:p>
            <w:pPr>
              <w:ind w:left="2440"/>
              <w:spacing w:after="0"/>
              <w:rPr>
                <w:sz w:val="20"/>
                <w:szCs w:val="20"/>
                <w:color w:val="auto"/>
              </w:rPr>
            </w:pPr>
            <w:r>
              <w:rPr>
                <w:rFonts w:ascii="Arial" w:cs="Arial" w:eastAsia="Arial" w:hAnsi="Arial"/>
                <w:sz w:val="12"/>
                <w:szCs w:val="12"/>
                <w:color w:val="auto"/>
              </w:rPr>
              <w:t>Progress Software Corporation</w:t>
            </w:r>
          </w:p>
        </w:tc>
      </w:tr>
      <w:tr>
        <w:trPr>
          <w:trHeight w:val="333"/>
        </w:trPr>
        <w:tc>
          <w:tcPr>
            <w:tcW w:w="4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960" w:type="dxa"/>
            <w:vAlign w:val="bottom"/>
          </w:tcPr>
          <w:p>
            <w:pPr>
              <w:ind w:left="2440"/>
              <w:spacing w:after="0"/>
              <w:rPr>
                <w:sz w:val="20"/>
                <w:szCs w:val="20"/>
                <w:color w:val="auto"/>
              </w:rPr>
            </w:pPr>
            <w:r>
              <w:rPr>
                <w:rFonts w:ascii="Arial" w:cs="Arial" w:eastAsia="Arial" w:hAnsi="Arial"/>
                <w:sz w:val="12"/>
                <w:szCs w:val="12"/>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ANTHONY FOLGER</w:t>
            </w:r>
          </w:p>
        </w:tc>
      </w:tr>
      <w:tr>
        <w:trPr>
          <w:trHeight w:val="142"/>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380" w:type="dxa"/>
            <w:vAlign w:val="bottom"/>
          </w:tcPr>
          <w:p>
            <w:pPr>
              <w:ind w:left="20"/>
              <w:spacing w:after="0"/>
              <w:rPr>
                <w:sz w:val="20"/>
                <w:szCs w:val="20"/>
                <w:color w:val="auto"/>
              </w:rPr>
            </w:pPr>
            <w:r>
              <w:rPr>
                <w:rFonts w:ascii="Arial" w:cs="Arial" w:eastAsia="Arial" w:hAnsi="Arial"/>
                <w:sz w:val="12"/>
                <w:szCs w:val="12"/>
                <w:color w:val="auto"/>
              </w:rPr>
              <w:t>Anthony Folger</w:t>
            </w:r>
          </w:p>
        </w:tc>
      </w:tr>
      <w:tr>
        <w:trPr>
          <w:trHeight w:val="153"/>
        </w:trPr>
        <w:tc>
          <w:tcPr>
            <w:tcW w:w="4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380" w:type="dxa"/>
            <w:vAlign w:val="bottom"/>
          </w:tcPr>
          <w:p>
            <w:pPr>
              <w:ind w:left="20"/>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220"/>
          </w:cols>
          <w:pgMar w:left="300" w:top="559" w:right="379" w:bottom="1440" w:gutter="0" w:footer="0" w:header="0"/>
        </w:sectPr>
      </w:pPr>
    </w:p>
    <w:bookmarkStart w:id="3" w:name="page4"/>
    <w:bookmarkEnd w:id="3"/>
    <w:p>
      <w:pPr>
        <w:jc w:val="right"/>
        <w:ind w:right="160"/>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-84455</wp:posOffset>
            </wp:positionV>
            <wp:extent cx="914400" cy="280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440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33FF"/>
        </w:rPr>
        <w:t>P R E S S A N N O U N C E M E N 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Progress Announces First Quarter 2023 Financial Results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Revenue and Earnings Per Share Exceed Guidance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ARR surges to $569M; MarkLogic Integration Underway</w:t>
      </w:r>
    </w:p>
    <w:p>
      <w:pPr>
        <w:spacing w:after="0" w:line="16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BURLINGTON, Mass, March 28, 2023 (GlobeNewswire) </w:t>
      </w:r>
      <w:r>
        <w:rPr>
          <w:rFonts w:ascii="Arial" w:cs="Arial" w:eastAsia="Arial" w:hAnsi="Arial"/>
          <w:sz w:val="11"/>
          <w:szCs w:val="11"/>
          <w:color w:val="auto"/>
        </w:rPr>
        <w:t>— Progress (Nasdaq: PRGS), the trusted provider of infrastructure software, today announced financial results for its fiscal first quarter ended February 28, 2023.</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First Quarter 2023 Highlights</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w:t>
      </w:r>
    </w:p>
    <w:p>
      <w:pPr>
        <w:spacing w:after="0" w:line="138"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Revenue of $164.2 million increased 13% year-over-year on an actual currency basis, and 15% on a constant currency basis.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Non-GAAP revenue of $165.6 million increased 12% year-over-year on an actual currency basis, and increased 14% on a constant currency basis.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Annualized Recurring Revenue (“ARR”) of $569 million increased 20% year-over-year on a constant currency basis.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Operating margin was 22% and Non-GAAP operating margin was 44%.</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Diluted earnings per share was $0.53 compared to $0.46 in the same quarter last year, an increase of 15%.</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Non-GAAP diluted earnings per share was $1.19 compared to $0.97 in the same quarter last year, an increase of 23%.</w:t>
      </w:r>
    </w:p>
    <w:p>
      <w:pPr>
        <w:spacing w:after="0" w:line="150" w:lineRule="exact"/>
        <w:rPr>
          <w:sz w:val="20"/>
          <w:szCs w:val="20"/>
          <w:color w:val="auto"/>
        </w:rPr>
      </w:pPr>
    </w:p>
    <w:p>
      <w:pPr>
        <w:ind w:right="180"/>
        <w:spacing w:after="0" w:line="243" w:lineRule="auto"/>
        <w:rPr>
          <w:sz w:val="20"/>
          <w:szCs w:val="20"/>
          <w:color w:val="auto"/>
        </w:rPr>
      </w:pPr>
      <w:r>
        <w:rPr>
          <w:rFonts w:ascii="Arial" w:cs="Arial" w:eastAsia="Arial" w:hAnsi="Arial"/>
          <w:sz w:val="12"/>
          <w:szCs w:val="12"/>
          <w:color w:val="auto"/>
        </w:rPr>
        <w:t>“Our fiscal 2023 started off very strong, with excellent results across virtually all products and geographies and a continuation of the strong demand and superb execution we saw in 2022,” said Yogesh Gupta, CEO at Progress. “Our customers continue to depend heavily on Progress products for reliable, cost-effective, highly functional solutions that help them develop, deploy and manage their high-impact business applications in difficult macroeconomic conditions. Importantly, our integration of MarkLogic, which closed just a couple of weeks before quarter-end, is gaining steam. We are thrilled to welcome our new team-members and look forward to their continued contributions through the year.”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20" w:type="dxa"/>
            <w:vAlign w:val="bottom"/>
          </w:tcPr>
          <w:p>
            <w:pPr>
              <w:spacing w:after="0"/>
              <w:rPr>
                <w:sz w:val="20"/>
                <w:szCs w:val="20"/>
                <w:color w:val="auto"/>
              </w:rPr>
            </w:pPr>
            <w:r>
              <w:rPr>
                <w:rFonts w:ascii="Arial" w:cs="Arial" w:eastAsia="Arial" w:hAnsi="Arial"/>
                <w:sz w:val="12"/>
                <w:szCs w:val="12"/>
                <w:b w:val="1"/>
                <w:bCs w:val="1"/>
                <w:color w:val="auto"/>
              </w:rPr>
              <w:t>Additional financial highlights included:</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1"/>
        </w:trPr>
        <w:tc>
          <w:tcPr>
            <w:tcW w:w="3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color w:val="auto"/>
              </w:rPr>
              <w:t>Three Months Ended</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color w:val="auto"/>
              </w:rPr>
              <w:t>GAAP</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2"/>
                <w:szCs w:val="12"/>
                <w:color w:val="auto"/>
              </w:rPr>
              <w:t>Non-GAAP</w:t>
            </w:r>
            <w:r>
              <w:rPr>
                <w:rFonts w:ascii="Arial" w:cs="Arial" w:eastAsia="Arial" w:hAnsi="Arial"/>
                <w:sz w:val="15"/>
                <w:szCs w:val="15"/>
                <w:color w:val="auto"/>
                <w:vertAlign w:val="superscript"/>
              </w:rPr>
              <w:t>1</w:t>
            </w:r>
          </w:p>
        </w:tc>
        <w:tc>
          <w:tcPr>
            <w:tcW w:w="980" w:type="dxa"/>
            <w:vAlign w:val="bottom"/>
            <w:tcBorders>
              <w:bottom w:val="single" w:sz="8" w:color="auto"/>
            </w:tcBorders>
          </w:tcPr>
          <w:p>
            <w:pPr>
              <w:spacing w:after="0"/>
              <w:rPr>
                <w:sz w:val="12"/>
                <w:szCs w:val="12"/>
                <w:color w:val="auto"/>
              </w:rPr>
            </w:pPr>
          </w:p>
        </w:tc>
      </w:tr>
      <w:tr>
        <w:trPr>
          <w:trHeight w:val="142"/>
        </w:trPr>
        <w:tc>
          <w:tcPr>
            <w:tcW w:w="3420" w:type="dxa"/>
            <w:vAlign w:val="bottom"/>
          </w:tcPr>
          <w:p>
            <w:pPr>
              <w:ind w:left="20"/>
              <w:spacing w:after="0"/>
              <w:rPr>
                <w:sz w:val="20"/>
                <w:szCs w:val="20"/>
                <w:color w:val="auto"/>
              </w:rPr>
            </w:pPr>
            <w:r>
              <w:rPr>
                <w:rFonts w:ascii="Arial" w:cs="Arial" w:eastAsia="Arial" w:hAnsi="Arial"/>
                <w:sz w:val="10"/>
                <w:szCs w:val="10"/>
                <w:i w:val="1"/>
                <w:iCs w:val="1"/>
                <w:color w:val="auto"/>
              </w:rPr>
              <w:t>(In thousands, except percentages and per share amounts)</w:t>
            </w:r>
          </w:p>
        </w:tc>
        <w:tc>
          <w:tcPr>
            <w:tcW w:w="14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February 28, 2023</w:t>
            </w:r>
          </w:p>
        </w:tc>
        <w:tc>
          <w:tcPr>
            <w:tcW w:w="140" w:type="dxa"/>
            <w:vAlign w:val="bottom"/>
          </w:tcPr>
          <w:p>
            <w:pPr>
              <w:spacing w:after="0"/>
              <w:rPr>
                <w:sz w:val="12"/>
                <w:szCs w:val="12"/>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color w:val="auto"/>
              </w:rPr>
              <w:t>February 28, 2022</w:t>
            </w:r>
          </w:p>
        </w:tc>
        <w:tc>
          <w:tcPr>
            <w:tcW w:w="1080" w:type="dxa"/>
            <w:vAlign w:val="bottom"/>
            <w:gridSpan w:val="2"/>
          </w:tcPr>
          <w:p>
            <w:pPr>
              <w:ind w:left="240"/>
              <w:spacing w:after="0"/>
              <w:rPr>
                <w:sz w:val="20"/>
                <w:szCs w:val="20"/>
                <w:color w:val="auto"/>
              </w:rPr>
            </w:pPr>
            <w:r>
              <w:rPr>
                <w:rFonts w:ascii="Arial" w:cs="Arial" w:eastAsia="Arial" w:hAnsi="Arial"/>
                <w:sz w:val="12"/>
                <w:szCs w:val="12"/>
                <w:i w:val="1"/>
                <w:iCs w:val="1"/>
                <w:color w:val="auto"/>
              </w:rPr>
              <w:t>% Change</w:t>
            </w:r>
          </w:p>
        </w:tc>
        <w:tc>
          <w:tcPr>
            <w:tcW w:w="14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February 28, 2023</w:t>
            </w:r>
          </w:p>
        </w:tc>
        <w:tc>
          <w:tcPr>
            <w:tcW w:w="120" w:type="dxa"/>
            <w:vAlign w:val="bottom"/>
          </w:tcPr>
          <w:p>
            <w:pPr>
              <w:spacing w:after="0"/>
              <w:rPr>
                <w:sz w:val="12"/>
                <w:szCs w:val="12"/>
                <w:color w:val="auto"/>
              </w:rPr>
            </w:pPr>
          </w:p>
        </w:tc>
        <w:tc>
          <w:tcPr>
            <w:tcW w:w="1300" w:type="dxa"/>
            <w:vAlign w:val="bottom"/>
            <w:gridSpan w:val="2"/>
          </w:tcPr>
          <w:p>
            <w:pPr>
              <w:ind w:left="100"/>
              <w:spacing w:after="0"/>
              <w:rPr>
                <w:sz w:val="20"/>
                <w:szCs w:val="20"/>
                <w:color w:val="auto"/>
              </w:rPr>
            </w:pPr>
            <w:r>
              <w:rPr>
                <w:rFonts w:ascii="Arial" w:cs="Arial" w:eastAsia="Arial" w:hAnsi="Arial"/>
                <w:sz w:val="12"/>
                <w:szCs w:val="12"/>
                <w:color w:val="auto"/>
              </w:rPr>
              <w:t>February 28, 2022</w:t>
            </w:r>
          </w:p>
        </w:tc>
        <w:tc>
          <w:tcPr>
            <w:tcW w:w="980" w:type="dxa"/>
            <w:vAlign w:val="bottom"/>
          </w:tcPr>
          <w:p>
            <w:pPr>
              <w:jc w:val="right"/>
              <w:ind w:right="181"/>
              <w:spacing w:after="0"/>
              <w:rPr>
                <w:sz w:val="20"/>
                <w:szCs w:val="20"/>
                <w:color w:val="auto"/>
              </w:rPr>
            </w:pPr>
            <w:r>
              <w:rPr>
                <w:rFonts w:ascii="Arial" w:cs="Arial" w:eastAsia="Arial" w:hAnsi="Arial"/>
                <w:sz w:val="12"/>
                <w:szCs w:val="12"/>
                <w:i w:val="1"/>
                <w:iCs w:val="1"/>
                <w:color w:val="auto"/>
              </w:rPr>
              <w:t>% Change</w:t>
            </w:r>
          </w:p>
        </w:tc>
      </w:tr>
      <w:tr>
        <w:trPr>
          <w:trHeight w:val="142"/>
        </w:trPr>
        <w:tc>
          <w:tcPr>
            <w:tcW w:w="3420" w:type="dxa"/>
            <w:vAlign w:val="bottom"/>
          </w:tcPr>
          <w:p>
            <w:pPr>
              <w:ind w:left="20"/>
              <w:spacing w:after="0"/>
              <w:rPr>
                <w:sz w:val="20"/>
                <w:szCs w:val="20"/>
                <w:color w:val="auto"/>
              </w:rPr>
            </w:pPr>
            <w:r>
              <w:rPr>
                <w:rFonts w:ascii="Arial" w:cs="Arial" w:eastAsia="Arial" w:hAnsi="Arial"/>
                <w:sz w:val="12"/>
                <w:szCs w:val="12"/>
                <w:color w:val="auto"/>
              </w:rPr>
              <w:t>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164,226</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rPr>
              <w:t>144,922</w:t>
            </w:r>
          </w:p>
        </w:tc>
        <w:tc>
          <w:tcPr>
            <w:tcW w:w="100" w:type="dxa"/>
            <w:vAlign w:val="bottom"/>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13 %</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165,611</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rPr>
              <w:t>147,505</w:t>
            </w:r>
          </w:p>
        </w:tc>
        <w:tc>
          <w:tcPr>
            <w:tcW w:w="100" w:type="dxa"/>
            <w:vAlign w:val="bottom"/>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12 %</w:t>
            </w:r>
          </w:p>
        </w:tc>
      </w:tr>
      <w:tr>
        <w:trPr>
          <w:trHeight w:val="153"/>
        </w:trPr>
        <w:tc>
          <w:tcPr>
            <w:tcW w:w="3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35,588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29,432</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72,432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58,732</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23 %</w:t>
            </w:r>
          </w:p>
        </w:tc>
      </w:tr>
      <w:tr>
        <w:trPr>
          <w:trHeight w:val="153"/>
        </w:trPr>
        <w:tc>
          <w:tcPr>
            <w:tcW w:w="3420" w:type="dxa"/>
            <w:vAlign w:val="bottom"/>
          </w:tcPr>
          <w:p>
            <w:pPr>
              <w:ind w:left="20"/>
              <w:spacing w:after="0"/>
              <w:rPr>
                <w:sz w:val="20"/>
                <w:szCs w:val="20"/>
                <w:color w:val="auto"/>
              </w:rPr>
            </w:pPr>
            <w:r>
              <w:rPr>
                <w:rFonts w:ascii="Arial" w:cs="Arial" w:eastAsia="Arial" w:hAnsi="Arial"/>
                <w:sz w:val="12"/>
                <w:szCs w:val="12"/>
                <w:color w:val="auto"/>
              </w:rPr>
              <w:t>Operating margin</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22 %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20 %</w:t>
            </w:r>
          </w:p>
        </w:tc>
        <w:tc>
          <w:tcPr>
            <w:tcW w:w="100" w:type="dxa"/>
            <w:vAlign w:val="bottom"/>
          </w:tcPr>
          <w:p>
            <w:pPr>
              <w:spacing w:after="0"/>
              <w:rPr>
                <w:sz w:val="13"/>
                <w:szCs w:val="13"/>
                <w:color w:val="auto"/>
              </w:rPr>
            </w:pPr>
          </w:p>
        </w:tc>
        <w:tc>
          <w:tcPr>
            <w:tcW w:w="1080" w:type="dxa"/>
            <w:vAlign w:val="bottom"/>
            <w:gridSpan w:val="2"/>
          </w:tcPr>
          <w:p>
            <w:pPr>
              <w:ind w:left="640"/>
              <w:spacing w:after="0"/>
              <w:rPr>
                <w:sz w:val="20"/>
                <w:szCs w:val="20"/>
                <w:color w:val="auto"/>
              </w:rPr>
            </w:pPr>
            <w:r>
              <w:rPr>
                <w:rFonts w:ascii="Arial" w:cs="Arial" w:eastAsia="Arial" w:hAnsi="Arial"/>
                <w:sz w:val="11"/>
                <w:szCs w:val="11"/>
                <w:color w:val="auto"/>
              </w:rPr>
              <w:t>200 bps</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44 %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40 %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400 bps</w:t>
            </w:r>
          </w:p>
        </w:tc>
      </w:tr>
      <w:tr>
        <w:trPr>
          <w:trHeight w:val="153"/>
        </w:trPr>
        <w:tc>
          <w:tcPr>
            <w:tcW w:w="3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23,674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20,454</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52,759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43,560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21 %</w:t>
            </w:r>
          </w:p>
        </w:tc>
      </w:tr>
      <w:tr>
        <w:trPr>
          <w:trHeight w:val="153"/>
        </w:trPr>
        <w:tc>
          <w:tcPr>
            <w:tcW w:w="3420" w:type="dxa"/>
            <w:vAlign w:val="bottom"/>
          </w:tcPr>
          <w:p>
            <w:pPr>
              <w:ind w:left="20"/>
              <w:spacing w:after="0"/>
              <w:rPr>
                <w:sz w:val="20"/>
                <w:szCs w:val="20"/>
                <w:color w:val="auto"/>
              </w:rPr>
            </w:pPr>
            <w:r>
              <w:rPr>
                <w:rFonts w:ascii="Arial" w:cs="Arial" w:eastAsia="Arial" w:hAnsi="Arial"/>
                <w:sz w:val="12"/>
                <w:szCs w:val="12"/>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Pr>
          <w:p>
            <w:pPr>
              <w:jc w:val="right"/>
              <w:ind w:right="100"/>
              <w:spacing w:after="0"/>
              <w:rPr>
                <w:sz w:val="20"/>
                <w:szCs w:val="20"/>
                <w:color w:val="auto"/>
              </w:rPr>
            </w:pPr>
            <w:r>
              <w:rPr>
                <w:rFonts w:ascii="Arial" w:cs="Arial" w:eastAsia="Arial" w:hAnsi="Arial"/>
                <w:sz w:val="12"/>
                <w:szCs w:val="12"/>
                <w:b w:val="1"/>
                <w:bCs w:val="1"/>
                <w:color w:val="auto"/>
              </w:rPr>
              <w:t>0.53</w:t>
            </w:r>
          </w:p>
        </w:tc>
        <w:tc>
          <w:tcPr>
            <w:tcW w:w="10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0.46</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15 %</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Pr>
          <w:p>
            <w:pPr>
              <w:jc w:val="right"/>
              <w:ind w:right="100"/>
              <w:spacing w:after="0"/>
              <w:rPr>
                <w:sz w:val="20"/>
                <w:szCs w:val="20"/>
                <w:color w:val="auto"/>
              </w:rPr>
            </w:pPr>
            <w:r>
              <w:rPr>
                <w:rFonts w:ascii="Arial" w:cs="Arial" w:eastAsia="Arial" w:hAnsi="Arial"/>
                <w:sz w:val="12"/>
                <w:szCs w:val="12"/>
                <w:b w:val="1"/>
                <w:bCs w:val="1"/>
                <w:color w:val="auto"/>
              </w:rPr>
              <w:t>1.19</w:t>
            </w:r>
          </w:p>
        </w:tc>
        <w:tc>
          <w:tcPr>
            <w:tcW w:w="1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0.97</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23 %</w:t>
            </w:r>
          </w:p>
        </w:tc>
      </w:tr>
      <w:tr>
        <w:trPr>
          <w:trHeight w:val="15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4"/>
              </w:rPr>
              <w:t xml:space="preserve">Cash from operations (GAAP) /Adjusted free cash flow (Non-GAAP) </w:t>
            </w:r>
            <w:r>
              <w:rPr>
                <w:rFonts w:ascii="Arial" w:cs="Arial" w:eastAsia="Arial" w:hAnsi="Arial"/>
                <w:sz w:val="12"/>
                <w:szCs w:val="12"/>
                <w:b w:val="1"/>
                <w:bCs w:val="1"/>
                <w:color w:val="auto"/>
                <w:w w:val="94"/>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46,767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44,093</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46,871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44,681</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fiscal first quarter 2023 metrics and recent results included:</w:t>
      </w:r>
    </w:p>
    <w:p>
      <w:pPr>
        <w:spacing w:after="0" w:line="163"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2"/>
          <w:szCs w:val="12"/>
          <w:color w:val="auto"/>
        </w:rPr>
        <w:t>•</w:t>
        <w:tab/>
        <w:t>Cash, cash equivalents and short-term investments were $122.9 million at the end of the quarter.</w:t>
      </w:r>
    </w:p>
    <w:p>
      <w:pPr>
        <w:spacing w:after="0" w:line="15"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2"/>
          <w:szCs w:val="12"/>
          <w:color w:val="auto"/>
        </w:rPr>
        <w:t>•</w:t>
        <w:tab/>
        <w:t>Days sales outstanding was 42 days compared to 52 days in the fiscal first quarter of 2022 and 62 days in the fiscal fourth quarter of 2022.</w:t>
      </w:r>
    </w:p>
    <w:p>
      <w:pPr>
        <w:spacing w:after="0" w:line="6"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1"/>
          <w:szCs w:val="11"/>
          <w:color w:val="auto"/>
        </w:rPr>
        <w:t>•</w:t>
        <w:tab/>
        <w:t>On March 17, 2023, our Board of Directors declared a quarterly dividend of $0.175 per share of common stock which will be paid on June 15, 2023 to shareholders of record as of the close of business on June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297180</wp:posOffset>
            </wp:positionV>
            <wp:extent cx="11430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0"/>
          <w:szCs w:val="10"/>
          <w:color w:val="auto"/>
        </w:rPr>
        <w:t xml:space="preserve"> See </w:t>
      </w:r>
      <w:r>
        <w:rPr>
          <w:rFonts w:ascii="Arial" w:cs="Arial" w:eastAsia="Arial" w:hAnsi="Arial"/>
          <w:sz w:val="10"/>
          <w:szCs w:val="10"/>
          <w:i w:val="1"/>
          <w:iCs w:val="1"/>
          <w:color w:val="auto"/>
        </w:rPr>
        <w:t>Important Information Regarding Non-GAAP Financial Information</w:t>
      </w:r>
      <w:r>
        <w:rPr>
          <w:rFonts w:ascii="Arial" w:cs="Arial" w:eastAsia="Arial" w:hAnsi="Arial"/>
          <w:sz w:val="10"/>
          <w:szCs w:val="10"/>
          <w:color w:val="auto"/>
        </w:rPr>
        <w:t xml:space="preserve"> and a reconciliation of non-GAAP adjustments to Progress’ GAAP financial results at the end of this press release.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80"/>
          </w:cols>
          <w:pgMar w:left="300" w:top="154" w:right="319" w:bottom="1440" w:gutter="0" w:footer="0" w:header="0"/>
        </w:sectPr>
      </w:pPr>
    </w:p>
    <w:bookmarkStart w:id="4" w:name="page5"/>
    <w:bookmarkEnd w:id="4"/>
    <w:p>
      <w:pPr>
        <w:ind w:right="100"/>
        <w:spacing w:after="0" w:line="260" w:lineRule="auto"/>
        <w:rPr>
          <w:sz w:val="20"/>
          <w:szCs w:val="20"/>
          <w:color w:val="auto"/>
        </w:rPr>
      </w:pPr>
      <w:r>
        <w:rPr>
          <w:rFonts w:ascii="Arial" w:cs="Arial" w:eastAsia="Arial" w:hAnsi="Arial"/>
          <w:sz w:val="12"/>
          <w:szCs w:val="12"/>
          <w:color w:val="auto"/>
        </w:rPr>
        <w:t>Anthony Folger, CFO, said: “I’m very pleased with our first quarter results, driven by a strong top line performance across nearly every product line. ARR of $569M grew 20% in constant currency and 4% on a pro-forma basis, while net retention rates increased to 102%. Operating margins came in strong at almost 44%, and our balance sheet remains in great shape, with modest net leverage.”</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2023 Business Outlook</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Progress provides the following guidance for the fiscal year ending November 30, 2023 and the fiscal second quarter ending May 31, 2023:</w:t>
      </w:r>
    </w:p>
    <w:p>
      <w:pPr>
        <w:sectPr>
          <w:pgSz w:w="11900" w:h="16838" w:orient="portrait"/>
          <w:cols w:equalWidth="0" w:num="1">
            <w:col w:w="11280"/>
          </w:cols>
          <w:pgMar w:left="300" w:top="986" w:right="319" w:bottom="1440" w:gutter="0" w:footer="0" w:header="0"/>
        </w:sect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8"/>
          <w:szCs w:val="8"/>
          <w:i w:val="1"/>
          <w:iCs w:val="1"/>
          <w:color w:val="auto"/>
        </w:rPr>
        <w:t>(In millions, except percentages and per share amounts)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Revenue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Diluted earnings per share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Operating margin</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Cash from operations (GAAP) /</w:t>
      </w:r>
    </w:p>
    <w:p>
      <w:pPr>
        <w:ind w:left="20"/>
        <w:spacing w:after="0"/>
        <w:rPr>
          <w:sz w:val="20"/>
          <w:szCs w:val="20"/>
          <w:color w:val="auto"/>
        </w:rPr>
      </w:pPr>
      <w:r>
        <w:rPr>
          <w:rFonts w:ascii="Arial" w:cs="Arial" w:eastAsia="Arial" w:hAnsi="Arial"/>
          <w:sz w:val="12"/>
          <w:szCs w:val="12"/>
          <w:color w:val="auto"/>
        </w:rPr>
        <w:t>Adjusted free cash flow (Non-GAAP)</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Effective tax rate</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0"/>
          <w:szCs w:val="10"/>
          <w:i w:val="1"/>
          <w:iCs w:val="1"/>
          <w:color w:val="auto"/>
        </w:rPr>
        <w:t>(In millions, except per share amounts)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Revenue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Diluted earnings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40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1"/>
              </w:rPr>
              <w:t>Updated FY 2023 Guidance</w:t>
            </w:r>
          </w:p>
        </w:tc>
        <w:tc>
          <w:tcPr>
            <w:tcW w:w="3320" w:type="dxa"/>
            <w:vAlign w:val="bottom"/>
            <w:gridSpan w:val="5"/>
          </w:tcPr>
          <w:p>
            <w:pPr>
              <w:jc w:val="right"/>
              <w:ind w:right="1000"/>
              <w:spacing w:after="0"/>
              <w:rPr>
                <w:sz w:val="20"/>
                <w:szCs w:val="20"/>
                <w:color w:val="auto"/>
              </w:rPr>
            </w:pPr>
            <w:r>
              <w:rPr>
                <w:rFonts w:ascii="Arial" w:cs="Arial" w:eastAsia="Arial" w:hAnsi="Arial"/>
                <w:sz w:val="12"/>
                <w:szCs w:val="12"/>
                <w:color w:val="auto"/>
              </w:rPr>
              <w:t>Prior FY 2023 Guidance</w:t>
            </w:r>
          </w:p>
        </w:tc>
      </w:tr>
      <w:tr>
        <w:trPr>
          <w:trHeight w:val="159"/>
        </w:trPr>
        <w:tc>
          <w:tcPr>
            <w:tcW w:w="2140" w:type="dxa"/>
            <w:vAlign w:val="bottom"/>
            <w:tcBorders>
              <w:bottom w:val="single" w:sz="8" w:color="auto"/>
            </w:tcBorders>
            <w:gridSpan w:val="3"/>
          </w:tcPr>
          <w:p>
            <w:pPr>
              <w:jc w:val="center"/>
              <w:ind w:left="1100"/>
              <w:spacing w:after="0"/>
              <w:rPr>
                <w:sz w:val="20"/>
                <w:szCs w:val="20"/>
                <w:color w:val="auto"/>
              </w:rPr>
            </w:pPr>
            <w:r>
              <w:rPr>
                <w:rFonts w:ascii="Arial" w:cs="Arial" w:eastAsia="Arial" w:hAnsi="Arial"/>
                <w:sz w:val="12"/>
                <w:szCs w:val="12"/>
                <w:b w:val="1"/>
                <w:bCs w:val="1"/>
                <w:color w:val="auto"/>
                <w:w w:val="92"/>
              </w:rPr>
              <w:t>(March 28, 2023)</w:t>
            </w: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2"/>
                <w:szCs w:val="12"/>
                <w:color w:val="auto"/>
              </w:rPr>
              <w:t>(January 17, 2023)</w:t>
            </w:r>
          </w:p>
        </w:tc>
        <w:tc>
          <w:tcPr>
            <w:tcW w:w="1160" w:type="dxa"/>
            <w:vAlign w:val="bottom"/>
            <w:tcBorders>
              <w:bottom w:val="single" w:sz="8" w:color="auto"/>
            </w:tcBorders>
          </w:tcPr>
          <w:p>
            <w:pPr>
              <w:spacing w:after="0"/>
              <w:rPr>
                <w:sz w:val="13"/>
                <w:szCs w:val="13"/>
                <w:color w:val="auto"/>
              </w:rPr>
            </w:pPr>
          </w:p>
        </w:tc>
      </w:tr>
      <w:tr>
        <w:trPr>
          <w:trHeight w:val="145"/>
        </w:trPr>
        <w:tc>
          <w:tcPr>
            <w:tcW w:w="2140" w:type="dxa"/>
            <w:vAlign w:val="bottom"/>
            <w:gridSpan w:val="3"/>
          </w:tcPr>
          <w:p>
            <w:pPr>
              <w:ind w:left="620"/>
              <w:spacing w:after="0"/>
              <w:rPr>
                <w:sz w:val="20"/>
                <w:szCs w:val="20"/>
                <w:color w:val="auto"/>
              </w:rPr>
            </w:pPr>
            <w:r>
              <w:rPr>
                <w:rFonts w:ascii="Arial" w:cs="Arial" w:eastAsia="Arial" w:hAnsi="Arial"/>
                <w:sz w:val="12"/>
                <w:szCs w:val="12"/>
                <w:b w:val="1"/>
                <w:bCs w:val="1"/>
                <w:color w:val="auto"/>
              </w:rPr>
              <w:t>GAAP</w:t>
            </w:r>
          </w:p>
        </w:tc>
        <w:tc>
          <w:tcPr>
            <w:tcW w:w="1160" w:type="dxa"/>
            <w:vAlign w:val="bottom"/>
          </w:tcPr>
          <w:p>
            <w:pPr>
              <w:jc w:val="right"/>
              <w:ind w:right="420"/>
              <w:spacing w:after="0" w:line="145" w:lineRule="exact"/>
              <w:rPr>
                <w:sz w:val="20"/>
                <w:szCs w:val="20"/>
                <w:color w:val="auto"/>
              </w:rPr>
            </w:pPr>
            <w:r>
              <w:rPr>
                <w:rFonts w:ascii="Arial" w:cs="Arial" w:eastAsia="Arial" w:hAnsi="Arial"/>
                <w:sz w:val="12"/>
                <w:szCs w:val="12"/>
                <w:b w:val="1"/>
                <w:bCs w:val="1"/>
                <w:color w:val="auto"/>
                <w:w w:val="97"/>
              </w:rPr>
              <w:t>Non-GAAP</w:t>
            </w:r>
            <w:r>
              <w:rPr>
                <w:rFonts w:ascii="Arial" w:cs="Arial" w:eastAsia="Arial" w:hAnsi="Arial"/>
                <w:sz w:val="15"/>
                <w:szCs w:val="15"/>
                <w:b w:val="1"/>
                <w:bCs w:val="1"/>
                <w:color w:val="auto"/>
                <w:w w:val="97"/>
                <w:vertAlign w:val="superscript"/>
              </w:rPr>
              <w:t>1</w:t>
            </w:r>
          </w:p>
        </w:tc>
        <w:tc>
          <w:tcPr>
            <w:tcW w:w="100" w:type="dxa"/>
            <w:vAlign w:val="bottom"/>
          </w:tcPr>
          <w:p>
            <w:pPr>
              <w:spacing w:after="0"/>
              <w:rPr>
                <w:sz w:val="12"/>
                <w:szCs w:val="12"/>
                <w:color w:val="auto"/>
              </w:rPr>
            </w:pPr>
          </w:p>
        </w:tc>
        <w:tc>
          <w:tcPr>
            <w:tcW w:w="1380" w:type="dxa"/>
            <w:vAlign w:val="bottom"/>
          </w:tcPr>
          <w:p>
            <w:pPr>
              <w:jc w:val="right"/>
              <w:ind w:right="340"/>
              <w:spacing w:after="0"/>
              <w:rPr>
                <w:sz w:val="20"/>
                <w:szCs w:val="20"/>
                <w:color w:val="auto"/>
              </w:rPr>
            </w:pPr>
            <w:r>
              <w:rPr>
                <w:rFonts w:ascii="Arial" w:cs="Arial" w:eastAsia="Arial" w:hAnsi="Arial"/>
                <w:sz w:val="12"/>
                <w:szCs w:val="12"/>
                <w:color w:val="auto"/>
              </w:rPr>
              <w:t>GAAP</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jc w:val="right"/>
              <w:ind w:right="440"/>
              <w:spacing w:after="0" w:line="145" w:lineRule="exact"/>
              <w:rPr>
                <w:sz w:val="20"/>
                <w:szCs w:val="20"/>
                <w:color w:val="auto"/>
              </w:rPr>
            </w:pPr>
            <w:r>
              <w:rPr>
                <w:rFonts w:ascii="Arial" w:cs="Arial" w:eastAsia="Arial" w:hAnsi="Arial"/>
                <w:sz w:val="12"/>
                <w:szCs w:val="12"/>
                <w:color w:val="auto"/>
                <w:w w:val="98"/>
              </w:rPr>
              <w:t>Non-GAAP</w:t>
            </w:r>
            <w:r>
              <w:rPr>
                <w:rFonts w:ascii="Arial" w:cs="Arial" w:eastAsia="Arial" w:hAnsi="Arial"/>
                <w:sz w:val="15"/>
                <w:szCs w:val="15"/>
                <w:color w:val="auto"/>
                <w:w w:val="98"/>
                <w:vertAlign w:val="superscript"/>
              </w:rPr>
              <w:t>1</w:t>
            </w:r>
          </w:p>
        </w:tc>
      </w:tr>
      <w:tr>
        <w:trPr>
          <w:trHeight w:val="138"/>
        </w:trPr>
        <w:tc>
          <w:tcPr>
            <w:tcW w:w="16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$676 - $684</w:t>
            </w: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$680 - $688</w:t>
            </w:r>
          </w:p>
        </w:tc>
        <w:tc>
          <w:tcPr>
            <w:tcW w:w="100" w:type="dxa"/>
            <w:vAlign w:val="bottom"/>
          </w:tcPr>
          <w:p>
            <w:pPr>
              <w:spacing w:after="0"/>
              <w:rPr>
                <w:sz w:val="12"/>
                <w:szCs w:val="12"/>
                <w:color w:val="auto"/>
              </w:rPr>
            </w:pPr>
          </w:p>
        </w:tc>
        <w:tc>
          <w:tcPr>
            <w:tcW w:w="162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$671 - $681</w:t>
            </w: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$675 - $685</w:t>
            </w:r>
          </w:p>
        </w:tc>
      </w:tr>
      <w:tr>
        <w:trPr>
          <w:trHeight w:val="153"/>
        </w:trPr>
        <w:tc>
          <w:tcPr>
            <w:tcW w:w="1600" w:type="dxa"/>
            <w:vAlign w:val="bottom"/>
          </w:tcPr>
          <w:p>
            <w:pPr>
              <w:jc w:val="right"/>
              <w:spacing w:after="0"/>
              <w:rPr>
                <w:sz w:val="20"/>
                <w:szCs w:val="20"/>
                <w:color w:val="auto"/>
              </w:rPr>
            </w:pPr>
            <w:r>
              <w:rPr>
                <w:rFonts w:ascii="Arial" w:cs="Arial" w:eastAsia="Arial" w:hAnsi="Arial"/>
                <w:sz w:val="12"/>
                <w:szCs w:val="12"/>
                <w:b w:val="1"/>
                <w:bCs w:val="1"/>
                <w:color w:val="auto"/>
              </w:rPr>
              <w:t>$1.32 - $1.40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$4.09 - $4.17</w:t>
            </w:r>
          </w:p>
        </w:tc>
        <w:tc>
          <w:tcPr>
            <w:tcW w:w="10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$1.38 - $1.46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$4.09 - $4.17</w:t>
            </w:r>
          </w:p>
        </w:tc>
      </w:tr>
      <w:tr>
        <w:trPr>
          <w:trHeight w:val="157"/>
        </w:trPr>
        <w:tc>
          <w:tcPr>
            <w:tcW w:w="1600" w:type="dxa"/>
            <w:vAlign w:val="bottom"/>
          </w:tcPr>
          <w:p>
            <w:pPr>
              <w:jc w:val="right"/>
              <w:spacing w:after="0"/>
              <w:rPr>
                <w:sz w:val="20"/>
                <w:szCs w:val="20"/>
                <w:color w:val="auto"/>
              </w:rPr>
            </w:pPr>
            <w:r>
              <w:rPr>
                <w:rFonts w:ascii="Arial" w:cs="Arial" w:eastAsia="Arial" w:hAnsi="Arial"/>
                <w:sz w:val="12"/>
                <w:szCs w:val="12"/>
                <w:b w:val="1"/>
                <w:bCs w:val="1"/>
                <w:color w:val="auto"/>
              </w:rPr>
              <w:t>15% - 16%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38% - 39%</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3"/>
              </w:rPr>
              <w:t>16%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216"/>
        </w:trPr>
        <w:tc>
          <w:tcPr>
            <w:tcW w:w="1600" w:type="dxa"/>
            <w:vAlign w:val="bottom"/>
          </w:tcPr>
          <w:p>
            <w:pPr>
              <w:jc w:val="right"/>
              <w:spacing w:after="0"/>
              <w:rPr>
                <w:sz w:val="20"/>
                <w:szCs w:val="20"/>
                <w:color w:val="auto"/>
              </w:rPr>
            </w:pPr>
            <w:r>
              <w:rPr>
                <w:rFonts w:ascii="Arial" w:cs="Arial" w:eastAsia="Arial" w:hAnsi="Arial"/>
                <w:sz w:val="12"/>
                <w:szCs w:val="12"/>
                <w:b w:val="1"/>
                <w:bCs w:val="1"/>
                <w:color w:val="auto"/>
              </w:rPr>
              <w:t>$173 - $183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$175 - $185</w:t>
            </w:r>
          </w:p>
        </w:tc>
        <w:tc>
          <w:tcPr>
            <w:tcW w:w="1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$173 - $183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$175 - $185</w:t>
            </w:r>
          </w:p>
        </w:tc>
      </w:tr>
      <w:tr>
        <w:trPr>
          <w:trHeight w:val="216"/>
        </w:trPr>
        <w:tc>
          <w:tcPr>
            <w:tcW w:w="1600" w:type="dxa"/>
            <w:vAlign w:val="bottom"/>
          </w:tcPr>
          <w:p>
            <w:pPr>
              <w:jc w:val="right"/>
              <w:spacing w:after="0"/>
              <w:rPr>
                <w:sz w:val="20"/>
                <w:szCs w:val="20"/>
                <w:color w:val="auto"/>
              </w:rPr>
            </w:pPr>
            <w:r>
              <w:rPr>
                <w:rFonts w:ascii="Arial" w:cs="Arial" w:eastAsia="Arial" w:hAnsi="Arial"/>
                <w:sz w:val="12"/>
                <w:szCs w:val="12"/>
                <w:b w:val="1"/>
                <w:bCs w:val="1"/>
                <w:color w:val="auto"/>
              </w:rPr>
              <w:t>20% - 21%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20% - 21%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20% -</w:t>
            </w:r>
          </w:p>
        </w:tc>
        <w:tc>
          <w:tcPr>
            <w:tcW w:w="240" w:type="dxa"/>
            <w:vAlign w:val="bottom"/>
          </w:tcPr>
          <w:p>
            <w:pPr>
              <w:jc w:val="right"/>
              <w:spacing w:after="0"/>
              <w:rPr>
                <w:sz w:val="20"/>
                <w:szCs w:val="20"/>
                <w:color w:val="auto"/>
              </w:rPr>
            </w:pPr>
            <w:r>
              <w:rPr>
                <w:rFonts w:ascii="Arial" w:cs="Arial" w:eastAsia="Arial" w:hAnsi="Arial"/>
                <w:sz w:val="12"/>
                <w:szCs w:val="12"/>
                <w:color w:val="auto"/>
                <w:w w:val="83"/>
              </w:rPr>
              <w:t>21%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20% - 21%</w:t>
            </w:r>
          </w:p>
        </w:tc>
      </w:tr>
      <w:tr>
        <w:trPr>
          <w:trHeight w:val="225"/>
        </w:trPr>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Q2</w:t>
            </w:r>
          </w:p>
        </w:tc>
        <w:tc>
          <w:tcPr>
            <w:tcW w:w="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w w:val="88"/>
              </w:rPr>
              <w:t>2023 Guidance</w:t>
            </w:r>
          </w:p>
        </w:tc>
        <w:tc>
          <w:tcPr>
            <w:tcW w:w="1160" w:type="dxa"/>
            <w:vAlign w:val="bottom"/>
            <w:tcBorders>
              <w:bottom w:val="single" w:sz="8" w:color="auto"/>
            </w:tcBorders>
          </w:tcPr>
          <w:p>
            <w:pPr>
              <w:spacing w:after="0"/>
              <w:rPr>
                <w:sz w:val="19"/>
                <w:szCs w:val="19"/>
                <w:color w:val="auto"/>
              </w:rPr>
            </w:pPr>
          </w:p>
        </w:tc>
      </w:tr>
      <w:tr>
        <w:trPr>
          <w:trHeight w:val="142"/>
        </w:trPr>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GAAP</w:t>
            </w: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40"/>
              <w:spacing w:after="0" w:line="142" w:lineRule="exact"/>
              <w:rPr>
                <w:sz w:val="20"/>
                <w:szCs w:val="20"/>
                <w:color w:val="auto"/>
              </w:rPr>
            </w:pPr>
            <w:r>
              <w:rPr>
                <w:rFonts w:ascii="Arial" w:cs="Arial" w:eastAsia="Arial" w:hAnsi="Arial"/>
                <w:sz w:val="12"/>
                <w:szCs w:val="12"/>
                <w:color w:val="auto"/>
                <w:w w:val="98"/>
              </w:rPr>
              <w:t>Non-GAAP</w:t>
            </w:r>
            <w:r>
              <w:rPr>
                <w:rFonts w:ascii="Arial" w:cs="Arial" w:eastAsia="Arial" w:hAnsi="Arial"/>
                <w:sz w:val="15"/>
                <w:szCs w:val="15"/>
                <w:color w:val="auto"/>
                <w:w w:val="98"/>
                <w:vertAlign w:val="superscript"/>
              </w:rPr>
              <w:t>1</w:t>
            </w:r>
          </w:p>
        </w:tc>
      </w:tr>
      <w:tr>
        <w:trPr>
          <w:trHeight w:val="142"/>
        </w:trPr>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$167 - $171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$168 - 172</w:t>
            </w:r>
          </w:p>
        </w:tc>
      </w:tr>
      <w:tr>
        <w:trPr>
          <w:trHeight w:val="153"/>
        </w:trPr>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$0.12 - $0.16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$0.88 - $0.92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-1016635</wp:posOffset>
            </wp:positionV>
            <wp:extent cx="716661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102870"/>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-816610</wp:posOffset>
            </wp:positionV>
            <wp:extent cx="716661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-542290</wp:posOffset>
            </wp:positionV>
            <wp:extent cx="7166610"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-199390</wp:posOffset>
            </wp:positionV>
            <wp:extent cx="716661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720"/>
            <w:col w:w="6720"/>
          </w:cols>
          <w:pgMar w:left="300" w:top="986" w:right="319" w:bottom="1440" w:gutter="0" w:footer="0" w:header="0"/>
          <w:type w:val="continuous"/>
        </w:sectPr>
      </w:pP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Based on current exchange rates, the expected currency translation impact on Progress' fiscal year 2023 business outlook compared to 2022 exchange rates on GAAP and non-GAAP revenue and GAAP and non-GAAP diluted earnings per share is not expected to be material from an accounting perspective. The expected negative currency translation impact on Progress' fiscal Q2 2023 business outlook compared to 2022 exchange rates on GAAP and non-GAAP revenue is approximately $1.0 million. The expected impact on GAAP and non-GAAP diluted Q2 2023 earnings per share is not expected to be material from an accounting perspective. To the extent that there are changes in exchange rates versus the current environment, this may have an impact on Progress' business outlook.</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w:t>
      </w:r>
    </w:p>
    <w:p>
      <w:pPr>
        <w:spacing w:after="0" w:line="172" w:lineRule="exact"/>
        <w:rPr>
          <w:sz w:val="20"/>
          <w:szCs w:val="20"/>
          <w:color w:val="auto"/>
        </w:rPr>
      </w:pPr>
    </w:p>
    <w:p>
      <w:pPr>
        <w:ind w:right="300"/>
        <w:spacing w:after="0" w:line="340" w:lineRule="auto"/>
        <w:rPr>
          <w:sz w:val="20"/>
          <w:szCs w:val="20"/>
          <w:color w:val="auto"/>
        </w:rPr>
      </w:pPr>
      <w:r>
        <w:rPr>
          <w:rFonts w:ascii="Arial" w:cs="Arial" w:eastAsia="Arial" w:hAnsi="Arial"/>
          <w:sz w:val="10"/>
          <w:szCs w:val="10"/>
          <w:color w:val="auto"/>
        </w:rPr>
        <w:t xml:space="preserve">Progress will hold a conference call to review its financial results for the fiscal first quarter of 2023 at 5:00 p.m. ET on Tuesday, March 28, 2023. Participants must register for the conference call here: </w:t>
      </w:r>
      <w:r>
        <w:rPr>
          <w:rFonts w:ascii="Arial" w:cs="Arial" w:eastAsia="Arial" w:hAnsi="Arial"/>
          <w:sz w:val="10"/>
          <w:szCs w:val="10"/>
          <w:u w:val="single" w:color="auto"/>
          <w:color w:val="661DE8"/>
        </w:rPr>
        <w:t>https://register.vevent.com/register/BIc9baf1a1c869434aafddfc9378718010</w:t>
      </w:r>
      <w:r>
        <w:rPr>
          <w:rFonts w:ascii="Arial" w:cs="Arial" w:eastAsia="Arial" w:hAnsi="Arial"/>
          <w:sz w:val="10"/>
          <w:szCs w:val="10"/>
          <w:color w:val="000000"/>
        </w:rPr>
        <w:t>. The webcast can be accessed at:</w:t>
      </w:r>
      <w:r>
        <w:rPr>
          <w:rFonts w:ascii="Arial" w:cs="Arial" w:eastAsia="Arial" w:hAnsi="Arial"/>
          <w:sz w:val="10"/>
          <w:szCs w:val="10"/>
          <w:color w:val="661DE8"/>
        </w:rPr>
        <w:t xml:space="preserve"> </w:t>
      </w:r>
      <w:r>
        <w:rPr>
          <w:rFonts w:ascii="Arial" w:cs="Arial" w:eastAsia="Arial" w:hAnsi="Arial"/>
          <w:sz w:val="10"/>
          <w:szCs w:val="10"/>
          <w:u w:val="single" w:color="auto"/>
          <w:color w:val="661DE8"/>
        </w:rPr>
        <w:t>https://edge.media-server.com/mmc/p/cgfomqnf</w:t>
      </w:r>
      <w:r>
        <w:rPr>
          <w:rFonts w:ascii="Arial" w:cs="Arial" w:eastAsia="Arial" w:hAnsi="Arial"/>
          <w:sz w:val="10"/>
          <w:szCs w:val="10"/>
          <w:color w:val="000000"/>
        </w:rPr>
        <w:t>. The conference call will include comments followed by questions and</w:t>
      </w:r>
      <w:r>
        <w:rPr>
          <w:rFonts w:ascii="Arial" w:cs="Arial" w:eastAsia="Arial" w:hAnsi="Arial"/>
          <w:sz w:val="10"/>
          <w:szCs w:val="10"/>
          <w:color w:val="661DE8"/>
        </w:rPr>
        <w:t xml:space="preserve"> </w:t>
      </w:r>
      <w:r>
        <w:rPr>
          <w:rFonts w:ascii="Arial" w:cs="Arial" w:eastAsia="Arial" w:hAnsi="Arial"/>
          <w:sz w:val="10"/>
          <w:szCs w:val="10"/>
          <w:color w:val="000000"/>
        </w:rPr>
        <w:t>answers. Attendees must register for the webcast and an archived version of the conference call and supporting materials will be available on the Progress website within the investor relations section after the live conference call.</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80"/>
          </w:cols>
          <w:pgMar w:left="300" w:top="986" w:right="319" w:bottom="1440" w:gutter="0" w:footer="0" w:header="0"/>
          <w:type w:val="continuous"/>
        </w:sectPr>
      </w:pPr>
    </w:p>
    <w:bookmarkStart w:id="5" w:name="page6"/>
    <w:bookmarkEnd w:id="5"/>
    <w:p>
      <w:pPr>
        <w:ind w:left="8"/>
        <w:spacing w:after="0"/>
        <w:rPr>
          <w:sz w:val="20"/>
          <w:szCs w:val="20"/>
          <w:color w:val="auto"/>
        </w:rPr>
      </w:pPr>
      <w:r>
        <w:rPr>
          <w:rFonts w:ascii="Arial" w:cs="Arial" w:eastAsia="Arial" w:hAnsi="Arial"/>
          <w:sz w:val="12"/>
          <w:szCs w:val="12"/>
          <w:b w:val="1"/>
          <w:bCs w:val="1"/>
          <w:color w:val="auto"/>
        </w:rPr>
        <w:t>Important Information Regarding Non-GAAP Financial Information</w:t>
      </w:r>
    </w:p>
    <w:p>
      <w:pPr>
        <w:spacing w:after="0" w:line="163" w:lineRule="exact"/>
        <w:rPr>
          <w:sz w:val="20"/>
          <w:szCs w:val="20"/>
          <w:color w:val="auto"/>
        </w:rPr>
      </w:pPr>
    </w:p>
    <w:p>
      <w:pPr>
        <w:ind w:left="8"/>
        <w:spacing w:after="0" w:line="282" w:lineRule="auto"/>
        <w:rPr>
          <w:sz w:val="20"/>
          <w:szCs w:val="20"/>
          <w:color w:val="auto"/>
        </w:rPr>
      </w:pPr>
      <w:r>
        <w:rPr>
          <w:rFonts w:ascii="Arial" w:cs="Arial" w:eastAsia="Arial" w:hAnsi="Arial"/>
          <w:sz w:val="10"/>
          <w:szCs w:val="10"/>
          <w:color w:val="auto"/>
        </w:rPr>
        <w:t>Progress furnishes certain non-GAAP supplemental information to our financial results. We use such non-GAAP financial measures to evaluate our period-over-period operating performance because our management team believes that by excluding the effects of certain GAAP-related items that in their opinion do not reflect the ordinary earnings of our operations, such information helps to illustrate underlying trends in our business and provides us with a more comparable measure of our continuing business, as well as greater understanding of the results from the primary operations of our business. Management also uses such non-GAAP financial measures to establish budgets and operational goals, evaluate performance, and allocate resources. In addition, the compensation of our executives and non-executive employees is based in part on the performance of our business as evaluated by such non-GAAP financial measures. We believe these non-GAAP financial measures enhance investors’ overall understanding of our current financial performance and our prospects for the future by: (i) providing more transparency for certain financial measures, (ii) presenting disclosure that helps investors understand how we plan and measure the performance of our business, (iii) affords a view of our operating results that may be more easily compared to our peer companies, and</w:t>
      </w:r>
    </w:p>
    <w:p>
      <w:pPr>
        <w:ind w:left="8" w:right="20" w:hanging="8"/>
        <w:spacing w:after="0" w:line="271" w:lineRule="auto"/>
        <w:tabs>
          <w:tab w:leader="none" w:pos="211" w:val="left"/>
        </w:tabs>
        <w:numPr>
          <w:ilvl w:val="0"/>
          <w:numId w:val="3"/>
        </w:numPr>
        <w:rPr>
          <w:rFonts w:ascii="Arial" w:cs="Arial" w:eastAsia="Arial" w:hAnsi="Arial"/>
          <w:sz w:val="11"/>
          <w:szCs w:val="11"/>
          <w:color w:val="auto"/>
        </w:rPr>
      </w:pPr>
      <w:r>
        <w:rPr>
          <w:rFonts w:ascii="Arial" w:cs="Arial" w:eastAsia="Arial" w:hAnsi="Arial"/>
          <w:sz w:val="11"/>
          <w:szCs w:val="11"/>
          <w:color w:val="auto"/>
        </w:rPr>
        <w:t>enables investors to consider our operating results on both a GAAP and non-GAAP basis (including following the integration period of our prior and proposed acquisitions). However, this non-GAAP information is not in accordance with, or an alternative to, generally accepted accounting principles in the United States (“GAAP”) and should be considered in conjunction with our GAAP results as the items excluded from the non-GAAP information may have a material impact on Progress’ financial results. A reconciliation of non-GAAP adjustments to Progress' GAAP financial results is included in the tables at the end of this press release.</w:t>
      </w:r>
    </w:p>
    <w:p>
      <w:pPr>
        <w:spacing w:after="0" w:line="291"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the noted fiscal periods, we adjusted for the following items from our GAAP financial results to arrive at our non-GAAP financial measures:</w:t>
      </w:r>
    </w:p>
    <w:p>
      <w:pPr>
        <w:spacing w:after="0" w:line="159" w:lineRule="exact"/>
        <w:rPr>
          <w:sz w:val="20"/>
          <w:szCs w:val="20"/>
          <w:color w:val="auto"/>
        </w:rPr>
      </w:pPr>
    </w:p>
    <w:p>
      <w:pPr>
        <w:ind w:left="428" w:right="160" w:hanging="212"/>
        <w:spacing w:after="0" w:line="235" w:lineRule="auto"/>
        <w:tabs>
          <w:tab w:leader="none" w:pos="425"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Acquisition-related revenue - </w:t>
      </w:r>
      <w:r>
        <w:rPr>
          <w:rFonts w:ascii="Arial" w:cs="Arial" w:eastAsia="Arial" w:hAnsi="Arial"/>
          <w:sz w:val="12"/>
          <w:szCs w:val="12"/>
          <w:color w:val="auto"/>
        </w:rPr>
        <w:t>We include acquisition-related revenue, which constitutes revenue reflected as pre-acquisition deferred revenue that would have been recognized prior to our adoption of Accounting Standards</w:t>
      </w:r>
      <w:r>
        <w:rPr>
          <w:rFonts w:ascii="Arial" w:cs="Arial" w:eastAsia="Arial" w:hAnsi="Arial"/>
          <w:sz w:val="12"/>
          <w:szCs w:val="12"/>
          <w:i w:val="1"/>
          <w:iCs w:val="1"/>
          <w:color w:val="auto"/>
        </w:rPr>
        <w:t xml:space="preserve"> </w:t>
      </w:r>
      <w:r>
        <w:rPr>
          <w:rFonts w:ascii="Arial" w:cs="Arial" w:eastAsia="Arial" w:hAnsi="Arial"/>
          <w:sz w:val="12"/>
          <w:szCs w:val="12"/>
          <w:color w:val="auto"/>
        </w:rPr>
        <w:t>Update No. 2021-08, Business Combinations (Topic 805): Accounting for Contract Assets and Contract Liabilities from Contracts with Customers (“ASU 2021-08”) during the fourth quarter of fiscal year 2021. The acquisition-related revenue in our results relates to Chef Software, Inc. and Ipswitch, Inc., which we acquired on October 5, 2020 and April 30, 2019, respectively. Since GAAP accounting required the elimination of this revenue prior to the adoption of ASU 2021-08, GAAP results alone do not fully capture all of our economic activities. We believe these adjustments are useful to management and investors as a measure of the ongoing performance of the business because, although we cannot be certain that customers will renew their contracts, we have historically experienced high renewal rates on maintenance and support agreements and other customer contracts. Upon our adoption of ASU 2021-08, this adjustment is no longer applicable to subsequent acquisitions. The remaining adjustment is related to our acquisition of Chef and is expected to continue through the end of fiscal year 2023.</w:t>
      </w:r>
    </w:p>
    <w:p>
      <w:pPr>
        <w:ind w:left="428" w:right="60" w:hanging="212"/>
        <w:spacing w:after="0" w:line="256" w:lineRule="auto"/>
        <w:tabs>
          <w:tab w:leader="none" w:pos="425" w:val="left"/>
        </w:tabs>
        <w:numPr>
          <w:ilvl w:val="0"/>
          <w:numId w:val="4"/>
        </w:numPr>
        <w:rPr>
          <w:rFonts w:ascii="Arial" w:cs="Arial" w:eastAsia="Arial" w:hAnsi="Arial"/>
          <w:sz w:val="11"/>
          <w:szCs w:val="11"/>
          <w:color w:val="auto"/>
        </w:rPr>
      </w:pPr>
      <w:r>
        <w:rPr>
          <w:rFonts w:ascii="Arial" w:cs="Arial" w:eastAsia="Arial" w:hAnsi="Arial"/>
          <w:sz w:val="11"/>
          <w:szCs w:val="11"/>
          <w:i w:val="1"/>
          <w:iCs w:val="1"/>
          <w:color w:val="auto"/>
        </w:rPr>
        <w:t xml:space="preserve">Amortization of acquired intangibles - </w:t>
      </w:r>
      <w:r>
        <w:rPr>
          <w:rFonts w:ascii="Arial" w:cs="Arial" w:eastAsia="Arial" w:hAnsi="Arial"/>
          <w:sz w:val="11"/>
          <w:szCs w:val="11"/>
          <w:color w:val="auto"/>
        </w:rPr>
        <w:t>We exclude amortization of acquired intangibles because those expenses are unrelated to our core operating performance and the intangible assets acquired vary significantly based on the</w:t>
      </w:r>
      <w:r>
        <w:rPr>
          <w:rFonts w:ascii="Arial" w:cs="Arial" w:eastAsia="Arial" w:hAnsi="Arial"/>
          <w:sz w:val="11"/>
          <w:szCs w:val="11"/>
          <w:i w:val="1"/>
          <w:iCs w:val="1"/>
          <w:color w:val="auto"/>
        </w:rPr>
        <w:t xml:space="preserve"> </w:t>
      </w:r>
      <w:r>
        <w:rPr>
          <w:rFonts w:ascii="Arial" w:cs="Arial" w:eastAsia="Arial" w:hAnsi="Arial"/>
          <w:sz w:val="11"/>
          <w:szCs w:val="11"/>
          <w:color w:val="auto"/>
        </w:rPr>
        <w:t>timing and magnitude of our acquisition transactions and the maturities of the businesses acquired. Adjustments include preliminary estimates relating to the valuation of intangible assets from MarkLogic Corporation (“MarkLogic”), which we acquired on February 7, 2023. The final amounts will not be available until the Company's internal procedures and reviews are completed.</w:t>
      </w:r>
    </w:p>
    <w:p>
      <w:pPr>
        <w:ind w:left="428" w:right="120" w:hanging="212"/>
        <w:spacing w:after="0" w:line="234" w:lineRule="auto"/>
        <w:tabs>
          <w:tab w:leader="none" w:pos="425"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Stock-based compensation - </w:t>
      </w:r>
      <w:r>
        <w:rPr>
          <w:rFonts w:ascii="Arial" w:cs="Arial" w:eastAsia="Arial" w:hAnsi="Arial"/>
          <w:sz w:val="12"/>
          <w:szCs w:val="12"/>
          <w:color w:val="auto"/>
        </w:rPr>
        <w:t>We exclude stock-based compensation to be consistent with the way management and, in our view, the overall financial community evaluates our performance and the methods used by analysts to</w:t>
      </w:r>
      <w:r>
        <w:rPr>
          <w:rFonts w:ascii="Arial" w:cs="Arial" w:eastAsia="Arial" w:hAnsi="Arial"/>
          <w:sz w:val="12"/>
          <w:szCs w:val="12"/>
          <w:i w:val="1"/>
          <w:iCs w:val="1"/>
          <w:color w:val="auto"/>
        </w:rPr>
        <w:t xml:space="preserve"> </w:t>
      </w:r>
      <w:r>
        <w:rPr>
          <w:rFonts w:ascii="Arial" w:cs="Arial" w:eastAsia="Arial" w:hAnsi="Arial"/>
          <w:sz w:val="12"/>
          <w:szCs w:val="12"/>
          <w:color w:val="auto"/>
        </w:rPr>
        <w:t>calculate consensus estimates. The expense related to stock-based awards is generally not controllable in the short-term and can vary significantly based on the timing, size and nature of awards granted. As such, we do not include these charges in operating plans.</w:t>
      </w:r>
    </w:p>
    <w:p>
      <w:pPr>
        <w:spacing w:after="0" w:line="1" w:lineRule="exact"/>
        <w:rPr>
          <w:rFonts w:ascii="Arial" w:cs="Arial" w:eastAsia="Arial" w:hAnsi="Arial"/>
          <w:sz w:val="12"/>
          <w:szCs w:val="12"/>
          <w:color w:val="auto"/>
        </w:rPr>
      </w:pPr>
    </w:p>
    <w:p>
      <w:pPr>
        <w:ind w:left="428" w:right="300" w:hanging="212"/>
        <w:spacing w:after="0" w:line="234" w:lineRule="auto"/>
        <w:tabs>
          <w:tab w:leader="none" w:pos="425"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Restructuring expenses - </w:t>
      </w:r>
      <w:r>
        <w:rPr>
          <w:rFonts w:ascii="Arial" w:cs="Arial" w:eastAsia="Arial" w:hAnsi="Arial"/>
          <w:sz w:val="12"/>
          <w:szCs w:val="12"/>
          <w:color w:val="auto"/>
        </w:rPr>
        <w:t>In all periods presented, we exclude restructuring expenses incurred because those expenses distort trends and are not part of our core operating results. Adjustments include preliminary estimates</w:t>
      </w:r>
      <w:r>
        <w:rPr>
          <w:rFonts w:ascii="Arial" w:cs="Arial" w:eastAsia="Arial" w:hAnsi="Arial"/>
          <w:sz w:val="12"/>
          <w:szCs w:val="12"/>
          <w:i w:val="1"/>
          <w:iCs w:val="1"/>
          <w:color w:val="auto"/>
        </w:rPr>
        <w:t xml:space="preserve"> </w:t>
      </w:r>
      <w:r>
        <w:rPr>
          <w:rFonts w:ascii="Arial" w:cs="Arial" w:eastAsia="Arial" w:hAnsi="Arial"/>
          <w:sz w:val="12"/>
          <w:szCs w:val="12"/>
          <w:color w:val="auto"/>
        </w:rPr>
        <w:t>relating to restructuring expenses from MarkLogic. The final amounts will not be available until the Company's internal procedures and reviews are completed.</w:t>
      </w:r>
    </w:p>
    <w:p>
      <w:pPr>
        <w:ind w:left="428" w:right="140" w:hanging="212"/>
        <w:spacing w:after="0" w:line="234" w:lineRule="auto"/>
        <w:tabs>
          <w:tab w:leader="none" w:pos="425"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Acquisition-related expenses - </w:t>
      </w:r>
      <w:r>
        <w:rPr>
          <w:rFonts w:ascii="Arial" w:cs="Arial" w:eastAsia="Arial" w:hAnsi="Arial"/>
          <w:sz w:val="12"/>
          <w:szCs w:val="12"/>
          <w:color w:val="auto"/>
        </w:rPr>
        <w:t>We exclude acquisition-related expenses in order to provide a more meaningful comparison of the financial results to our historical operations and forward-looking guidance and the financial</w:t>
      </w:r>
      <w:r>
        <w:rPr>
          <w:rFonts w:ascii="Arial" w:cs="Arial" w:eastAsia="Arial" w:hAnsi="Arial"/>
          <w:sz w:val="12"/>
          <w:szCs w:val="12"/>
          <w:i w:val="1"/>
          <w:iCs w:val="1"/>
          <w:color w:val="auto"/>
        </w:rPr>
        <w:t xml:space="preserve"> </w:t>
      </w:r>
      <w:r>
        <w:rPr>
          <w:rFonts w:ascii="Arial" w:cs="Arial" w:eastAsia="Arial" w:hAnsi="Arial"/>
          <w:sz w:val="12"/>
          <w:szCs w:val="12"/>
          <w:color w:val="auto"/>
        </w:rPr>
        <w:t>results of less acquisitive peer companies. We consider these types of costs and adjustments, to a great extent, to be unpredictable and dependent on a significant number of factors that are outside of our control. Furthermore, we do not consider these acquisition-related costs and adjustments to be related to the organic continuing operations of the acquired businesses and are generally not relevant to assessing or estimating the long-term performance of the acquired assets. In addition, the size, complexity and/or volume of past acquisitions, which often drives the magnitude of acquisition-related costs, may not be indicative of the size, complexity and/or volume of future acquisitions.</w:t>
      </w:r>
    </w:p>
    <w:p>
      <w:pPr>
        <w:spacing w:after="0" w:line="1" w:lineRule="exact"/>
        <w:rPr>
          <w:rFonts w:ascii="Arial" w:cs="Arial" w:eastAsia="Arial" w:hAnsi="Arial"/>
          <w:sz w:val="12"/>
          <w:szCs w:val="12"/>
          <w:color w:val="auto"/>
        </w:rPr>
      </w:pPr>
    </w:p>
    <w:p>
      <w:pPr>
        <w:ind w:left="428" w:right="160" w:hanging="212"/>
        <w:spacing w:after="0"/>
        <w:tabs>
          <w:tab w:leader="none" w:pos="402" w:val="left"/>
        </w:tabs>
        <w:numPr>
          <w:ilvl w:val="0"/>
          <w:numId w:val="4"/>
        </w:numPr>
        <w:rPr>
          <w:rFonts w:ascii="Arial" w:cs="Arial" w:eastAsia="Arial" w:hAnsi="Arial"/>
          <w:sz w:val="13"/>
          <w:szCs w:val="13"/>
          <w:color w:val="auto"/>
        </w:rPr>
      </w:pPr>
      <w:r>
        <w:rPr>
          <w:rFonts w:ascii="Arial" w:cs="Arial" w:eastAsia="Arial" w:hAnsi="Arial"/>
          <w:sz w:val="12"/>
          <w:szCs w:val="12"/>
          <w:i w:val="1"/>
          <w:iCs w:val="1"/>
          <w:color w:val="auto"/>
        </w:rPr>
        <w:t xml:space="preserve">Cyber incident - </w:t>
      </w:r>
      <w:r>
        <w:rPr>
          <w:rFonts w:ascii="Arial" w:cs="Arial" w:eastAsia="Arial" w:hAnsi="Arial"/>
          <w:sz w:val="12"/>
          <w:szCs w:val="12"/>
          <w:color w:val="auto"/>
        </w:rPr>
        <w:t>We exclude certain expenses resulting from the detection of irregular activity on certain portions of our corporate network, as more thoroughly described in the Form 8-K that we filed on December 19, 2022.</w:t>
      </w:r>
      <w:r>
        <w:rPr>
          <w:rFonts w:ascii="Arial" w:cs="Arial" w:eastAsia="Arial" w:hAnsi="Arial"/>
          <w:sz w:val="12"/>
          <w:szCs w:val="12"/>
          <w:i w:val="1"/>
          <w:iCs w:val="1"/>
          <w:color w:val="auto"/>
        </w:rPr>
        <w:t xml:space="preserve"> </w:t>
      </w:r>
      <w:r>
        <w:rPr>
          <w:rFonts w:ascii="Arial" w:cs="Arial" w:eastAsia="Arial" w:hAnsi="Arial"/>
          <w:sz w:val="12"/>
          <w:szCs w:val="12"/>
          <w:color w:val="auto"/>
        </w:rPr>
        <w:t>Expenses include costs to investigate and remediate the cyber incident, as well as legal and other professional services related thereto.</w:t>
      </w: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991" w:right="299" w:bottom="1440" w:gutter="0" w:footer="0" w:header="0"/>
        </w:sectPr>
      </w:pPr>
    </w:p>
    <w:bookmarkStart w:id="6" w:name="page7"/>
    <w:bookmarkEnd w:id="6"/>
    <w:p>
      <w:pPr>
        <w:ind w:left="420" w:right="60"/>
        <w:spacing w:after="0" w:line="235" w:lineRule="auto"/>
        <w:rPr>
          <w:sz w:val="20"/>
          <w:szCs w:val="20"/>
          <w:color w:val="auto"/>
        </w:rPr>
      </w:pPr>
      <w:r>
        <w:rPr>
          <w:rFonts w:ascii="Arial" w:cs="Arial" w:eastAsia="Arial" w:hAnsi="Arial"/>
          <w:sz w:val="12"/>
          <w:szCs w:val="12"/>
          <w:color w:val="auto"/>
        </w:rPr>
        <w:t>Cyber incident costs are provided net of expected insurance recoveries, although the timing of recognizing insurance recoveries may differ from the timing of recognizing the associated expenses. Costs associated with the enhancement of our cybersecurity program are not included within this adjustment. We expect to incur legal and other professional services expenses associated with this incident in future periods. The cyber incident is expected to result in operating expenses that would not have otherwise been incurred in the normal course of business operations. We believe that excluding these costs facilitates a more meaningful evaluation of our operating performance and comparisons to our past operating performance.</w:t>
      </w:r>
    </w:p>
    <w:p>
      <w:pPr>
        <w:ind w:left="420" w:hanging="212"/>
        <w:spacing w:after="0" w:line="235" w:lineRule="auto"/>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Provision for income taxes </w:t>
      </w:r>
      <w:r>
        <w:rPr>
          <w:rFonts w:ascii="Arial" w:cs="Arial" w:eastAsia="Arial" w:hAnsi="Arial"/>
          <w:sz w:val="12"/>
          <w:szCs w:val="12"/>
          <w:color w:val="auto"/>
        </w:rPr>
        <w:t>- We adjust our income tax provision by excluding the tax impact of the non-GAAP adjustments discussed above.</w:t>
      </w:r>
    </w:p>
    <w:p>
      <w:pPr>
        <w:ind w:left="420" w:right="240" w:hanging="212"/>
        <w:spacing w:after="0" w:line="256" w:lineRule="auto"/>
        <w:tabs>
          <w:tab w:leader="none" w:pos="417"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 xml:space="preserve">Constant currency - </w:t>
      </w:r>
      <w:r>
        <w:rPr>
          <w:rFonts w:ascii="Arial" w:cs="Arial" w:eastAsia="Arial" w:hAnsi="Arial"/>
          <w:sz w:val="11"/>
          <w:szCs w:val="11"/>
          <w:color w:val="auto"/>
        </w:rPr>
        <w:t>Revenue from our international operations has historically represented a substantial portion of our total revenue. As a result, our revenue results have been impacted, and we expect will continue to be</w:t>
      </w:r>
      <w:r>
        <w:rPr>
          <w:rFonts w:ascii="Arial" w:cs="Arial" w:eastAsia="Arial" w:hAnsi="Arial"/>
          <w:sz w:val="11"/>
          <w:szCs w:val="11"/>
          <w:i w:val="1"/>
          <w:iCs w:val="1"/>
          <w:color w:val="auto"/>
        </w:rPr>
        <w:t xml:space="preserve"> </w:t>
      </w:r>
      <w:r>
        <w:rPr>
          <w:rFonts w:ascii="Arial" w:cs="Arial" w:eastAsia="Arial" w:hAnsi="Arial"/>
          <w:sz w:val="11"/>
          <w:szCs w:val="11"/>
          <w:color w:val="auto"/>
        </w:rPr>
        <w:t>impacted, by fluctuations in foreign currency exchange rates. As exchange rates are an important factor in understanding period-to-period comparisons, we present revenue growth rates on a constant currency basis, which helps improve the understanding of our revenue results and our performance in comparison to prior periods. The constant currency information presented is calculated by translating current period results using prior period weighted average foreign currency exchange rates. These results should be considered in addition to, not as a substitute for, results reported in accordance with GAAP.</w:t>
      </w:r>
    </w:p>
    <w:p>
      <w:pPr>
        <w:ind w:left="420" w:hanging="212"/>
        <w:spacing w:after="0" w:line="237"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Annual Recurring Revenue ("ARR") - </w:t>
      </w:r>
      <w:r>
        <w:rPr>
          <w:rFonts w:ascii="Arial" w:cs="Arial" w:eastAsia="Arial" w:hAnsi="Arial"/>
          <w:sz w:val="12"/>
          <w:szCs w:val="12"/>
          <w:color w:val="auto"/>
        </w:rPr>
        <w:t>We provide an ARR performance metric to help investors better understand and assess the performance of our business because our mix of revenue generated from recurring sources has</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increased in recent years. ARR represents the annualized contract value for all active and contractually binding term-based contracts at the end of a reporting period. ARR includes maintenance, software upgrade rights, public cloud and on-premises subscription-based transactions and managed services. ARR does not have any standardized meaning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We also provide guidance on adjusted free cash flow, which is equal to cash flows from operating activities less purchases of property and equipment, plus restructuring payments.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Regarding Forward-Looking Statements</w:t>
      </w:r>
    </w:p>
    <w:p>
      <w:pPr>
        <w:spacing w:after="0" w:line="163" w:lineRule="exact"/>
        <w:rPr>
          <w:sz w:val="20"/>
          <w:szCs w:val="20"/>
          <w:color w:val="auto"/>
        </w:rPr>
      </w:pPr>
    </w:p>
    <w:p>
      <w:pPr>
        <w:ind w:right="20"/>
        <w:spacing w:after="0" w:line="261" w:lineRule="auto"/>
        <w:rPr>
          <w:sz w:val="20"/>
          <w:szCs w:val="20"/>
          <w:color w:val="auto"/>
        </w:rPr>
      </w:pPr>
      <w:r>
        <w:rPr>
          <w:rFonts w:ascii="Arial" w:cs="Arial" w:eastAsia="Arial" w:hAnsi="Arial"/>
          <w:sz w:val="11"/>
          <w:szCs w:val="11"/>
          <w:color w:val="auto"/>
        </w:rPr>
        <w:t>This press release contains statements that are “forward-looking statements” within the meaning of Section 27A of the Securities Act of 1933, as amended, and Section 21E of the Securities Exchange Act of 1934, as amended. Progress has identified some of these forward-looking statements with words like “believe,” “may,” “could,” “would,” “might,” “should,” “expect,” “intend,” “plan,” “target,” “anticipate” and “continue,” the negative of these words, other terms of similar meaning or the use of future dates. Forward-looking statements in this press release include, but are not limited to, statements regarding Progress' business outlook (including the integration of MarkLogic) and financial guidance. There are a number of factors that could cause actual results or future events to differ materially from those anticipated by the forward-looking statements, including, without limitation: (i) economic, geopolitical and market conditions can adversely affect our business, results of operations and financial condition, including our revenue growth and profitability, which in turn could adversely affect our stock price; (ii) our international sales and operations subject us to additional risks that can adversely affect our operating results, including risks relating to foreign currency gains and losses; (iii) we may fail to achieve our financial forecasts due to such factors as delays or size reductions in transactions, fewer large transactions in a particular quarter, fluctuations in currency exchange rates, or a decline in our renewal rates for contracts; (iv) if the security measures for our software, services, other offerings or our internal information technology infrastructure are compromised or subject to a successful cyber-attack, or if our software offerings contain significant coding or configuration errors, we may experience reputational harm, legal claims and financial exposure; and (v) risks related to the disruption associated with the ongoing integration of MarkLogic. For further information regarding risks and uncertainties associated with Progress' business, please refer to Progress' filings with the Securities and Exchange Commission, including its Annual Report on Form 10-K for the fiscal year ended November 30, 2022. Progress undertakes no obligation to update any forward-looking statements, which speak only as of the date of this press release.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80"/>
          </w:cols>
          <w:pgMar w:left="300" w:top="986" w:right="31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About Progress</w:t>
      </w:r>
    </w:p>
    <w:p>
      <w:pPr>
        <w:spacing w:after="0" w:line="163" w:lineRule="exact"/>
        <w:rPr>
          <w:sz w:val="20"/>
          <w:szCs w:val="20"/>
          <w:color w:val="auto"/>
        </w:rPr>
      </w:pPr>
    </w:p>
    <w:p>
      <w:pPr>
        <w:ind w:right="160"/>
        <w:spacing w:after="0" w:line="281" w:lineRule="auto"/>
        <w:rPr>
          <w:sz w:val="20"/>
          <w:szCs w:val="20"/>
          <w:color w:val="auto"/>
        </w:rPr>
      </w:pPr>
      <w:r>
        <w:rPr>
          <w:rFonts w:ascii="Arial" w:cs="Arial" w:eastAsia="Arial" w:hAnsi="Arial"/>
          <w:sz w:val="11"/>
          <w:szCs w:val="11"/>
          <w:color w:val="auto"/>
        </w:rPr>
        <w:t xml:space="preserve">Dedicated to propelling business forward in a technology-driven world, </w:t>
      </w:r>
      <w:r>
        <w:rPr>
          <w:rFonts w:ascii="Arial" w:cs="Arial" w:eastAsia="Arial" w:hAnsi="Arial"/>
          <w:sz w:val="11"/>
          <w:szCs w:val="11"/>
          <w:u w:val="single" w:color="auto"/>
          <w:color w:val="0000FF"/>
        </w:rPr>
        <w:t>Progress</w:t>
      </w:r>
      <w:r>
        <w:rPr>
          <w:rFonts w:ascii="Arial" w:cs="Arial" w:eastAsia="Arial" w:hAnsi="Arial"/>
          <w:sz w:val="11"/>
          <w:szCs w:val="11"/>
          <w:color w:val="auto"/>
        </w:rPr>
        <w:t xml:space="preserve"> (Nasdaq: PRGS) helps businesses drive faster cycles of innovation, fuel momentum and accelerate their path to success. As the trusted provider of the best products to develop, deploy and manage high-impact applications, Progress enables customers to develop the applications and experiences they need, deploy where and how they want and manage it all safely and securely. Hundreds of thousands of enterprises, including 1,700 software companies and 3.5 million developers, depend on Progress to achieve their goals—with confidence. Learn more at </w:t>
      </w:r>
      <w:r>
        <w:rPr>
          <w:rFonts w:ascii="Arial" w:cs="Arial" w:eastAsia="Arial" w:hAnsi="Arial"/>
          <w:sz w:val="11"/>
          <w:szCs w:val="11"/>
          <w:u w:val="single" w:color="auto"/>
          <w:color w:val="0000FF"/>
        </w:rPr>
        <w:t>www.progress.com</w:t>
      </w:r>
      <w:r>
        <w:rPr>
          <w:rFonts w:ascii="Arial" w:cs="Arial" w:eastAsia="Arial" w:hAnsi="Arial"/>
          <w:sz w:val="11"/>
          <w:szCs w:val="11"/>
          <w:color w:val="auto"/>
        </w:rPr>
        <w:t>.</w:t>
      </w:r>
    </w:p>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Progress and Progress Software are trademarks or registered trademarks of Progress Software Corporation and/or its subsidiaries or affiliates in the U.S. and other countries. Any other names contained herein may be trademarks of their respective owners.</w:t>
      </w:r>
    </w:p>
    <w:p>
      <w:pPr>
        <w:sectPr>
          <w:pgSz w:w="11900" w:h="16838" w:orient="portrait"/>
          <w:cols w:equalWidth="0" w:num="1">
            <w:col w:w="11260"/>
          </w:cols>
          <w:pgMar w:left="300" w:top="1153" w:right="339" w:bottom="1440" w:gutter="0" w:footer="0" w:header="0"/>
        </w:sectPr>
      </w:pPr>
    </w:p>
    <w:p>
      <w:pPr>
        <w:spacing w:after="0" w:line="165"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Investor Contact:</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Michael Micciche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Progress Software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+1 781 850 8450</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0"/>
          <w:szCs w:val="10"/>
          <w:color w:val="auto"/>
        </w:rPr>
        <w:t>Investor-Relations@progress.com</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Press 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Erica McShane</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Progress Software</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+1 781 280 4000</w:t>
      </w:r>
    </w:p>
    <w:p>
      <w:pPr>
        <w:spacing w:after="0" w:line="27" w:lineRule="exact"/>
        <w:rPr>
          <w:sz w:val="20"/>
          <w:szCs w:val="20"/>
          <w:color w:val="auto"/>
        </w:rPr>
      </w:pPr>
    </w:p>
    <w:p>
      <w:pPr>
        <w:spacing w:after="0"/>
        <w:rPr>
          <w:sz w:val="20"/>
          <w:szCs w:val="20"/>
          <w:color w:val="auto"/>
        </w:rPr>
      </w:pPr>
      <w:r>
        <w:rPr>
          <w:rFonts w:ascii="Arial" w:cs="Arial" w:eastAsia="Arial" w:hAnsi="Arial"/>
          <w:sz w:val="10"/>
          <w:szCs w:val="10"/>
          <w:color w:val="auto"/>
        </w:rPr>
        <w:t>PR@progress.com</w:t>
      </w:r>
    </w:p>
    <w:p>
      <w:pPr>
        <w:spacing w:after="0" w:line="200" w:lineRule="exact"/>
        <w:rPr>
          <w:sz w:val="20"/>
          <w:szCs w:val="20"/>
          <w:color w:val="auto"/>
        </w:rPr>
      </w:pPr>
    </w:p>
    <w:p>
      <w:pPr>
        <w:sectPr>
          <w:pgSz w:w="11900" w:h="16838" w:orient="portrait"/>
          <w:cols w:equalWidth="0" w:num="2">
            <w:col w:w="7120" w:space="720"/>
            <w:col w:w="3420"/>
          </w:cols>
          <w:pgMar w:left="300" w:top="1153" w:right="339" w:bottom="1440" w:gutter="0" w:footer="0" w:header="0"/>
          <w:type w:val="continuous"/>
        </w:sect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260"/>
          </w:cols>
          <w:pgMar w:left="300" w:top="1153"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color w:val="auto"/>
              </w:rPr>
              <w:t>Three Months Ended</w:t>
            </w:r>
          </w:p>
        </w:tc>
        <w:tc>
          <w:tcPr>
            <w:tcW w:w="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r>
        <w:trPr>
          <w:trHeight w:val="142"/>
        </w:trPr>
        <w:tc>
          <w:tcPr>
            <w:tcW w:w="6200" w:type="dxa"/>
            <w:vAlign w:val="bottom"/>
          </w:tcPr>
          <w:p>
            <w:pPr>
              <w:spacing w:after="0"/>
              <w:rPr>
                <w:sz w:val="20"/>
                <w:szCs w:val="20"/>
                <w:color w:val="auto"/>
              </w:rPr>
            </w:pPr>
            <w:r>
              <w:rPr>
                <w:rFonts w:ascii="Arial" w:cs="Arial" w:eastAsia="Arial" w:hAnsi="Arial"/>
                <w:sz w:val="10"/>
                <w:szCs w:val="10"/>
                <w:i w:val="1"/>
                <w:iCs w:val="1"/>
                <w:color w:val="auto"/>
              </w:rPr>
              <w:t>(In thousands, except per share data)</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February 28, 2023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tcPr>
          <w:p>
            <w:pPr>
              <w:ind w:left="300"/>
              <w:spacing w:after="0"/>
              <w:rPr>
                <w:sz w:val="20"/>
                <w:szCs w:val="20"/>
                <w:color w:val="auto"/>
              </w:rPr>
            </w:pPr>
            <w:r>
              <w:rPr>
                <w:rFonts w:ascii="Arial" w:cs="Arial" w:eastAsia="Arial" w:hAnsi="Arial"/>
                <w:sz w:val="12"/>
                <w:szCs w:val="12"/>
                <w:color w:val="auto"/>
              </w:rPr>
              <w:t>February 28, 2022</w:t>
            </w:r>
          </w:p>
        </w:tc>
        <w:tc>
          <w:tcPr>
            <w:tcW w:w="20" w:type="dxa"/>
            <w:vAlign w:val="bottom"/>
          </w:tcPr>
          <w:p>
            <w:pPr>
              <w:spacing w:after="0"/>
              <w:rPr>
                <w:sz w:val="12"/>
                <w:szCs w:val="12"/>
                <w:color w:val="auto"/>
              </w:rPr>
            </w:pPr>
          </w:p>
        </w:tc>
        <w:tc>
          <w:tcPr>
            <w:tcW w:w="1400" w:type="dxa"/>
            <w:vAlign w:val="bottom"/>
          </w:tcPr>
          <w:p>
            <w:pPr>
              <w:jc w:val="right"/>
              <w:ind w:right="404"/>
              <w:spacing w:after="0"/>
              <w:rPr>
                <w:sz w:val="20"/>
                <w:szCs w:val="20"/>
                <w:color w:val="auto"/>
              </w:rPr>
            </w:pPr>
            <w:r>
              <w:rPr>
                <w:rFonts w:ascii="Arial" w:cs="Arial" w:eastAsia="Arial" w:hAnsi="Arial"/>
                <w:sz w:val="12"/>
                <w:szCs w:val="12"/>
                <w:i w:val="1"/>
                <w:iCs w:val="1"/>
                <w:color w:val="auto"/>
              </w:rPr>
              <w:t>% Change</w:t>
            </w:r>
          </w:p>
        </w:tc>
      </w:tr>
      <w:tr>
        <w:trPr>
          <w:trHeight w:val="133"/>
        </w:trPr>
        <w:tc>
          <w:tcPr>
            <w:tcW w:w="62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r>
      <w:tr>
        <w:trPr>
          <w:trHeight w:val="153"/>
        </w:trPr>
        <w:tc>
          <w:tcPr>
            <w:tcW w:w="6200" w:type="dxa"/>
            <w:vAlign w:val="bottom"/>
          </w:tcPr>
          <w:p>
            <w:pPr>
              <w:ind w:left="220"/>
              <w:spacing w:after="0"/>
              <w:rPr>
                <w:sz w:val="20"/>
                <w:szCs w:val="20"/>
                <w:color w:val="auto"/>
              </w:rPr>
            </w:pPr>
            <w:r>
              <w:rPr>
                <w:rFonts w:ascii="Arial" w:cs="Arial" w:eastAsia="Arial" w:hAnsi="Arial"/>
                <w:sz w:val="12"/>
                <w:szCs w:val="12"/>
                <w:color w:val="auto"/>
              </w:rPr>
              <w:t>Software licenses</w:t>
            </w:r>
          </w:p>
        </w:tc>
        <w:tc>
          <w:tcPr>
            <w:tcW w:w="260" w:type="dxa"/>
            <w:vAlign w:val="bottom"/>
            <w:gridSpan w:val="2"/>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57,568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2"/>
                <w:szCs w:val="12"/>
                <w:color w:val="auto"/>
                <w:w w:val="89"/>
              </w:rPr>
              <w:t>$</w:t>
            </w:r>
          </w:p>
        </w:tc>
        <w:tc>
          <w:tcPr>
            <w:tcW w:w="1620" w:type="dxa"/>
            <w:vAlign w:val="bottom"/>
          </w:tcPr>
          <w:p>
            <w:pPr>
              <w:jc w:val="right"/>
              <w:ind w:right="2"/>
              <w:spacing w:after="0"/>
              <w:rPr>
                <w:sz w:val="20"/>
                <w:szCs w:val="20"/>
                <w:color w:val="auto"/>
              </w:rPr>
            </w:pPr>
            <w:r>
              <w:rPr>
                <w:rFonts w:ascii="Arial" w:cs="Arial" w:eastAsia="Arial" w:hAnsi="Arial"/>
                <w:sz w:val="12"/>
                <w:szCs w:val="12"/>
                <w:color w:val="auto"/>
              </w:rPr>
              <w:t>42,750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2"/>
                <w:szCs w:val="12"/>
                <w:i w:val="1"/>
                <w:iCs w:val="1"/>
                <w:color w:val="auto"/>
              </w:rPr>
              <w:t>35 %</w:t>
            </w:r>
          </w:p>
        </w:tc>
      </w:tr>
      <w:tr>
        <w:trPr>
          <w:trHeight w:val="153"/>
        </w:trPr>
        <w:tc>
          <w:tcPr>
            <w:tcW w:w="62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Maintenance and services</w:t>
            </w: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106,658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102,172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i w:val="1"/>
                <w:iCs w:val="1"/>
                <w:color w:val="auto"/>
              </w:rPr>
              <w:t>4 %</w:t>
            </w:r>
          </w:p>
        </w:tc>
      </w:tr>
      <w:tr>
        <w:trPr>
          <w:trHeight w:val="142"/>
        </w:trPr>
        <w:tc>
          <w:tcPr>
            <w:tcW w:w="6200" w:type="dxa"/>
            <w:vAlign w:val="bottom"/>
            <w:tcBorders>
              <w:bottom w:val="single" w:sz="8" w:color="CCEEFF"/>
            </w:tcBorders>
          </w:tcPr>
          <w:p>
            <w:pPr>
              <w:ind w:left="440"/>
              <w:spacing w:after="0" w:line="133" w:lineRule="exact"/>
              <w:rPr>
                <w:sz w:val="20"/>
                <w:szCs w:val="20"/>
                <w:color w:val="auto"/>
              </w:rPr>
            </w:pPr>
            <w:r>
              <w:rPr>
                <w:rFonts w:ascii="Arial" w:cs="Arial" w:eastAsia="Arial" w:hAnsi="Arial"/>
                <w:sz w:val="12"/>
                <w:szCs w:val="12"/>
                <w:color w:val="auto"/>
              </w:rPr>
              <w:t>Total revenue</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164,226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144,922</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i w:val="1"/>
                <w:iCs w:val="1"/>
                <w:color w:val="auto"/>
              </w:rPr>
              <w:t>13 %</w:t>
            </w:r>
          </w:p>
        </w:tc>
      </w:tr>
      <w:tr>
        <w:trPr>
          <w:trHeight w:val="133"/>
        </w:trPr>
        <w:tc>
          <w:tcPr>
            <w:tcW w:w="62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Costs of revenue:</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53"/>
        </w:trPr>
        <w:tc>
          <w:tcPr>
            <w:tcW w:w="6200" w:type="dxa"/>
            <w:vAlign w:val="bottom"/>
          </w:tcPr>
          <w:p>
            <w:pPr>
              <w:ind w:left="220"/>
              <w:spacing w:after="0"/>
              <w:rPr>
                <w:sz w:val="20"/>
                <w:szCs w:val="20"/>
                <w:color w:val="auto"/>
              </w:rPr>
            </w:pPr>
            <w:r>
              <w:rPr>
                <w:rFonts w:ascii="Arial" w:cs="Arial" w:eastAsia="Arial" w:hAnsi="Arial"/>
                <w:sz w:val="12"/>
                <w:szCs w:val="12"/>
                <w:color w:val="auto"/>
              </w:rPr>
              <w:t>Cost of software licenses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2,452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right"/>
              <w:ind w:right="2"/>
              <w:spacing w:after="0"/>
              <w:rPr>
                <w:sz w:val="20"/>
                <w:szCs w:val="20"/>
                <w:color w:val="auto"/>
              </w:rPr>
            </w:pPr>
            <w:r>
              <w:rPr>
                <w:rFonts w:ascii="Arial" w:cs="Arial" w:eastAsia="Arial" w:hAnsi="Arial"/>
                <w:sz w:val="12"/>
                <w:szCs w:val="12"/>
                <w:color w:val="auto"/>
              </w:rPr>
              <w:t>2,609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2"/>
                <w:szCs w:val="12"/>
                <w:i w:val="1"/>
                <w:iCs w:val="1"/>
                <w:color w:val="auto"/>
              </w:rPr>
              <w:t>(6)%</w:t>
            </w:r>
          </w:p>
        </w:tc>
      </w:tr>
      <w:tr>
        <w:trPr>
          <w:trHeight w:val="153"/>
        </w:trPr>
        <w:tc>
          <w:tcPr>
            <w:tcW w:w="62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Cost of maintenance and services</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17,501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15,145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i w:val="1"/>
                <w:iCs w:val="1"/>
                <w:color w:val="auto"/>
              </w:rPr>
              <w:t>16 %</w:t>
            </w:r>
          </w:p>
        </w:tc>
      </w:tr>
      <w:tr>
        <w:trPr>
          <w:trHeight w:val="153"/>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Amortization of acquired intangibles</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6,264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5,458</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i w:val="1"/>
                <w:iCs w:val="1"/>
                <w:color w:val="auto"/>
              </w:rPr>
              <w:t>15 %</w:t>
            </w:r>
          </w:p>
        </w:tc>
      </w:tr>
      <w:tr>
        <w:trPr>
          <w:trHeight w:val="142"/>
        </w:trPr>
        <w:tc>
          <w:tcPr>
            <w:tcW w:w="6200" w:type="dxa"/>
            <w:vAlign w:val="bottom"/>
            <w:shd w:val="clear" w:color="auto" w:fill="CCEEFF"/>
          </w:tcPr>
          <w:p>
            <w:pPr>
              <w:ind w:left="440"/>
              <w:spacing w:after="0" w:line="133" w:lineRule="exact"/>
              <w:rPr>
                <w:sz w:val="20"/>
                <w:szCs w:val="20"/>
                <w:color w:val="auto"/>
              </w:rPr>
            </w:pPr>
            <w:r>
              <w:rPr>
                <w:rFonts w:ascii="Arial" w:cs="Arial" w:eastAsia="Arial" w:hAnsi="Arial"/>
                <w:sz w:val="12"/>
                <w:szCs w:val="12"/>
                <w:color w:val="auto"/>
              </w:rPr>
              <w:t>Total costs of revenue</w:t>
            </w: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26,217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23,212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i w:val="1"/>
                <w:iCs w:val="1"/>
                <w:color w:val="auto"/>
              </w:rPr>
              <w:t>13 %</w:t>
            </w:r>
          </w:p>
        </w:tc>
      </w:tr>
      <w:tr>
        <w:trPr>
          <w:trHeight w:val="142"/>
        </w:trPr>
        <w:tc>
          <w:tcPr>
            <w:tcW w:w="620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Gross profit</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138,009</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121,710</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i w:val="1"/>
                <w:iCs w:val="1"/>
                <w:color w:val="auto"/>
              </w:rPr>
              <w:t>13 %</w:t>
            </w:r>
          </w:p>
        </w:tc>
      </w:tr>
      <w:tr>
        <w:trPr>
          <w:trHeight w:val="133"/>
        </w:trPr>
        <w:tc>
          <w:tcPr>
            <w:tcW w:w="62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expenses:</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53"/>
        </w:trPr>
        <w:tc>
          <w:tcPr>
            <w:tcW w:w="6200" w:type="dxa"/>
            <w:vAlign w:val="bottom"/>
          </w:tcPr>
          <w:p>
            <w:pPr>
              <w:ind w:left="220"/>
              <w:spacing w:after="0"/>
              <w:rPr>
                <w:sz w:val="20"/>
                <w:szCs w:val="20"/>
                <w:color w:val="auto"/>
              </w:rPr>
            </w:pPr>
            <w:r>
              <w:rPr>
                <w:rFonts w:ascii="Arial" w:cs="Arial" w:eastAsia="Arial" w:hAnsi="Arial"/>
                <w:sz w:val="12"/>
                <w:szCs w:val="12"/>
                <w:color w:val="auto"/>
              </w:rPr>
              <w:t>Sales and marketing</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33,754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right"/>
              <w:ind w:right="2"/>
              <w:spacing w:after="0"/>
              <w:rPr>
                <w:sz w:val="20"/>
                <w:szCs w:val="20"/>
                <w:color w:val="auto"/>
              </w:rPr>
            </w:pPr>
            <w:r>
              <w:rPr>
                <w:rFonts w:ascii="Arial" w:cs="Arial" w:eastAsia="Arial" w:hAnsi="Arial"/>
                <w:sz w:val="12"/>
                <w:szCs w:val="12"/>
                <w:color w:val="auto"/>
              </w:rPr>
              <w:t>33,469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2"/>
                <w:szCs w:val="12"/>
                <w:i w:val="1"/>
                <w:iCs w:val="1"/>
                <w:color w:val="auto"/>
              </w:rPr>
              <w:t>1 %</w:t>
            </w:r>
          </w:p>
        </w:tc>
      </w:tr>
      <w:tr>
        <w:trPr>
          <w:trHeight w:val="153"/>
        </w:trPr>
        <w:tc>
          <w:tcPr>
            <w:tcW w:w="62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Product development</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30,438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28,673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i w:val="1"/>
                <w:iCs w:val="1"/>
                <w:color w:val="auto"/>
              </w:rPr>
              <w:t>6 %</w:t>
            </w:r>
          </w:p>
        </w:tc>
      </w:tr>
      <w:tr>
        <w:trPr>
          <w:trHeight w:val="153"/>
        </w:trPr>
        <w:tc>
          <w:tcPr>
            <w:tcW w:w="6200" w:type="dxa"/>
            <w:vAlign w:val="bottom"/>
          </w:tcPr>
          <w:p>
            <w:pPr>
              <w:ind w:left="220"/>
              <w:spacing w:after="0"/>
              <w:rPr>
                <w:sz w:val="20"/>
                <w:szCs w:val="20"/>
                <w:color w:val="auto"/>
              </w:rPr>
            </w:pPr>
            <w:r>
              <w:rPr>
                <w:rFonts w:ascii="Arial" w:cs="Arial" w:eastAsia="Arial" w:hAnsi="Arial"/>
                <w:sz w:val="12"/>
                <w:szCs w:val="12"/>
                <w:color w:val="auto"/>
              </w:rPr>
              <w:t>General and administrative</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18,786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right"/>
              <w:ind w:right="2"/>
              <w:spacing w:after="0"/>
              <w:rPr>
                <w:sz w:val="20"/>
                <w:szCs w:val="20"/>
                <w:color w:val="auto"/>
              </w:rPr>
            </w:pPr>
            <w:r>
              <w:rPr>
                <w:rFonts w:ascii="Arial" w:cs="Arial" w:eastAsia="Arial" w:hAnsi="Arial"/>
                <w:sz w:val="12"/>
                <w:szCs w:val="12"/>
                <w:color w:val="auto"/>
              </w:rPr>
              <w:t>16,991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2"/>
                <w:szCs w:val="12"/>
                <w:i w:val="1"/>
                <w:iCs w:val="1"/>
                <w:color w:val="auto"/>
              </w:rPr>
              <w:t>11 %</w:t>
            </w:r>
          </w:p>
        </w:tc>
      </w:tr>
      <w:tr>
        <w:trPr>
          <w:trHeight w:val="153"/>
        </w:trPr>
        <w:tc>
          <w:tcPr>
            <w:tcW w:w="62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Amortization of acquired intangibles</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13,611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11,722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i w:val="1"/>
                <w:iCs w:val="1"/>
                <w:color w:val="auto"/>
              </w:rPr>
              <w:t>16 %</w:t>
            </w:r>
          </w:p>
        </w:tc>
      </w:tr>
      <w:tr>
        <w:trPr>
          <w:trHeight w:val="153"/>
        </w:trPr>
        <w:tc>
          <w:tcPr>
            <w:tcW w:w="6200" w:type="dxa"/>
            <w:vAlign w:val="bottom"/>
          </w:tcPr>
          <w:p>
            <w:pPr>
              <w:ind w:left="220"/>
              <w:spacing w:after="0"/>
              <w:rPr>
                <w:sz w:val="20"/>
                <w:szCs w:val="20"/>
                <w:color w:val="auto"/>
              </w:rPr>
            </w:pPr>
            <w:r>
              <w:rPr>
                <w:rFonts w:ascii="Arial" w:cs="Arial" w:eastAsia="Arial" w:hAnsi="Arial"/>
                <w:sz w:val="12"/>
                <w:szCs w:val="12"/>
                <w:color w:val="auto"/>
              </w:rPr>
              <w:t>Cyber incident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2,692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420" w:type="dxa"/>
            <w:vAlign w:val="bottom"/>
            <w:gridSpan w:val="2"/>
          </w:tcPr>
          <w:p>
            <w:pPr>
              <w:jc w:val="right"/>
              <w:spacing w:after="0"/>
              <w:rPr>
                <w:sz w:val="20"/>
                <w:szCs w:val="20"/>
                <w:color w:val="auto"/>
              </w:rPr>
            </w:pPr>
            <w:r>
              <w:rPr>
                <w:rFonts w:ascii="Arial" w:cs="Arial" w:eastAsia="Arial" w:hAnsi="Arial"/>
                <w:sz w:val="12"/>
                <w:szCs w:val="12"/>
                <w:i w:val="1"/>
                <w:iCs w:val="1"/>
                <w:color w:val="auto"/>
              </w:rPr>
              <w:t>*</w:t>
            </w:r>
          </w:p>
        </w:tc>
      </w:tr>
      <w:tr>
        <w:trPr>
          <w:trHeight w:val="153"/>
        </w:trPr>
        <w:tc>
          <w:tcPr>
            <w:tcW w:w="62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Restructuring expenses</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511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i w:val="1"/>
                <w:iCs w:val="1"/>
                <w:color w:val="auto"/>
              </w:rPr>
              <w:t>173 %</w:t>
            </w:r>
          </w:p>
        </w:tc>
      </w:tr>
      <w:tr>
        <w:trPr>
          <w:trHeight w:val="153"/>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Acquisition-related expenses</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1,743</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912</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i w:val="1"/>
                <w:iCs w:val="1"/>
                <w:color w:val="auto"/>
              </w:rPr>
              <w:t>91 %</w:t>
            </w:r>
          </w:p>
        </w:tc>
      </w:tr>
      <w:tr>
        <w:trPr>
          <w:trHeight w:val="142"/>
        </w:trPr>
        <w:tc>
          <w:tcPr>
            <w:tcW w:w="6200" w:type="dxa"/>
            <w:vAlign w:val="bottom"/>
            <w:shd w:val="clear" w:color="auto" w:fill="CCEEFF"/>
          </w:tcPr>
          <w:p>
            <w:pPr>
              <w:ind w:left="440"/>
              <w:spacing w:after="0" w:line="133" w:lineRule="exact"/>
              <w:rPr>
                <w:sz w:val="20"/>
                <w:szCs w:val="20"/>
                <w:color w:val="auto"/>
              </w:rPr>
            </w:pPr>
            <w:r>
              <w:rPr>
                <w:rFonts w:ascii="Arial" w:cs="Arial" w:eastAsia="Arial" w:hAnsi="Arial"/>
                <w:sz w:val="12"/>
                <w:szCs w:val="12"/>
                <w:color w:val="auto"/>
              </w:rPr>
              <w:t>Total operating expenses</w:t>
            </w: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102,421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92,278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i w:val="1"/>
                <w:iCs w:val="1"/>
                <w:color w:val="auto"/>
              </w:rPr>
              <w:t>11 %</w:t>
            </w:r>
          </w:p>
        </w:tc>
      </w:tr>
      <w:tr>
        <w:trPr>
          <w:trHeight w:val="142"/>
        </w:trPr>
        <w:tc>
          <w:tcPr>
            <w:tcW w:w="620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Income from operations</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35,588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29,432</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i w:val="1"/>
                <w:iCs w:val="1"/>
                <w:color w:val="auto"/>
              </w:rPr>
              <w:t>21 %</w:t>
            </w:r>
          </w:p>
        </w:tc>
      </w:tr>
      <w:tr>
        <w:trPr>
          <w:trHeight w:val="142"/>
        </w:trPr>
        <w:tc>
          <w:tcPr>
            <w:tcW w:w="62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Other expense, net</w:t>
            </w: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(5,664)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(3,480)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i w:val="1"/>
                <w:iCs w:val="1"/>
                <w:color w:val="auto"/>
              </w:rPr>
              <w:t>63 %</w:t>
            </w:r>
          </w:p>
        </w:tc>
      </w:tr>
      <w:tr>
        <w:trPr>
          <w:trHeight w:val="142"/>
        </w:trPr>
        <w:tc>
          <w:tcPr>
            <w:tcW w:w="620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Income before income taxes</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29,924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25,952</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i w:val="1"/>
                <w:iCs w:val="1"/>
                <w:color w:val="auto"/>
              </w:rPr>
              <w:t>15 %</w:t>
            </w:r>
          </w:p>
        </w:tc>
      </w:tr>
      <w:tr>
        <w:trPr>
          <w:trHeight w:val="142"/>
        </w:trPr>
        <w:tc>
          <w:tcPr>
            <w:tcW w:w="62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Provision for income taxes</w:t>
            </w: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6,250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5,498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i w:val="1"/>
                <w:iCs w:val="1"/>
                <w:color w:val="auto"/>
              </w:rPr>
              <w:t>14 %</w:t>
            </w:r>
          </w:p>
        </w:tc>
      </w:tr>
      <w:tr>
        <w:trPr>
          <w:trHeight w:val="158"/>
        </w:trPr>
        <w:tc>
          <w:tcPr>
            <w:tcW w:w="620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Net income</w:t>
            </w:r>
          </w:p>
        </w:tc>
        <w:tc>
          <w:tcPr>
            <w:tcW w:w="2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23,674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2"/>
                <w:szCs w:val="12"/>
                <w:color w:val="auto"/>
                <w:w w:val="89"/>
              </w:rPr>
              <w:t>$</w:t>
            </w: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20,454</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i w:val="1"/>
                <w:iCs w:val="1"/>
                <w:color w:val="auto"/>
              </w:rPr>
              <w:t>16 %</w:t>
            </w:r>
          </w:p>
        </w:tc>
      </w:tr>
      <w:tr>
        <w:trPr>
          <w:trHeight w:val="162"/>
        </w:trPr>
        <w:tc>
          <w:tcPr>
            <w:tcW w:w="6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Earnings per share:</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53"/>
        </w:trPr>
        <w:tc>
          <w:tcPr>
            <w:tcW w:w="62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Basic</w:t>
            </w:r>
          </w:p>
        </w:tc>
        <w:tc>
          <w:tcPr>
            <w:tcW w:w="260" w:type="dxa"/>
            <w:vAlign w:val="bottom"/>
            <w:gridSpan w:val="2"/>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w w:val="89"/>
              </w:rPr>
              <w:t>$</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0.47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i w:val="1"/>
                <w:iCs w:val="1"/>
                <w:color w:val="auto"/>
              </w:rPr>
              <w:t>17 %</w:t>
            </w:r>
          </w:p>
        </w:tc>
      </w:tr>
      <w:tr>
        <w:trPr>
          <w:trHeight w:val="153"/>
        </w:trPr>
        <w:tc>
          <w:tcPr>
            <w:tcW w:w="6200" w:type="dxa"/>
            <w:vAlign w:val="bottom"/>
          </w:tcPr>
          <w:p>
            <w:pPr>
              <w:ind w:left="220"/>
              <w:spacing w:after="0"/>
              <w:rPr>
                <w:sz w:val="20"/>
                <w:szCs w:val="20"/>
                <w:color w:val="auto"/>
              </w:rPr>
            </w:pPr>
            <w:r>
              <w:rPr>
                <w:rFonts w:ascii="Arial" w:cs="Arial" w:eastAsia="Arial" w:hAnsi="Arial"/>
                <w:sz w:val="12"/>
                <w:szCs w:val="12"/>
                <w:color w:val="auto"/>
              </w:rPr>
              <w:t>Diluted</w:t>
            </w:r>
          </w:p>
        </w:tc>
        <w:tc>
          <w:tcPr>
            <w:tcW w:w="260" w:type="dxa"/>
            <w:vAlign w:val="bottom"/>
            <w:gridSpan w:val="2"/>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0.53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2"/>
                <w:szCs w:val="12"/>
                <w:color w:val="auto"/>
                <w:w w:val="89"/>
              </w:rPr>
              <w:t>$</w:t>
            </w:r>
          </w:p>
        </w:tc>
        <w:tc>
          <w:tcPr>
            <w:tcW w:w="1620" w:type="dxa"/>
            <w:vAlign w:val="bottom"/>
          </w:tcPr>
          <w:p>
            <w:pPr>
              <w:jc w:val="right"/>
              <w:ind w:right="2"/>
              <w:spacing w:after="0"/>
              <w:rPr>
                <w:sz w:val="20"/>
                <w:szCs w:val="20"/>
                <w:color w:val="auto"/>
              </w:rPr>
            </w:pPr>
            <w:r>
              <w:rPr>
                <w:rFonts w:ascii="Arial" w:cs="Arial" w:eastAsia="Arial" w:hAnsi="Arial"/>
                <w:sz w:val="12"/>
                <w:szCs w:val="12"/>
                <w:color w:val="auto"/>
              </w:rPr>
              <w:t>0.46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2"/>
                <w:szCs w:val="12"/>
                <w:i w:val="1"/>
                <w:iCs w:val="1"/>
                <w:color w:val="auto"/>
              </w:rPr>
              <w:t>15 %</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outstanding:</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53"/>
        </w:trPr>
        <w:tc>
          <w:tcPr>
            <w:tcW w:w="6200" w:type="dxa"/>
            <w:vAlign w:val="bottom"/>
          </w:tcPr>
          <w:p>
            <w:pPr>
              <w:ind w:left="220"/>
              <w:spacing w:after="0"/>
              <w:rPr>
                <w:sz w:val="20"/>
                <w:szCs w:val="20"/>
                <w:color w:val="auto"/>
              </w:rPr>
            </w:pPr>
            <w:r>
              <w:rPr>
                <w:rFonts w:ascii="Arial" w:cs="Arial" w:eastAsia="Arial" w:hAnsi="Arial"/>
                <w:sz w:val="12"/>
                <w:szCs w:val="12"/>
                <w:color w:val="auto"/>
              </w:rPr>
              <w:t>Basic</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43,300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right"/>
              <w:ind w:right="2"/>
              <w:spacing w:after="0"/>
              <w:rPr>
                <w:sz w:val="20"/>
                <w:szCs w:val="20"/>
                <w:color w:val="auto"/>
              </w:rPr>
            </w:pPr>
            <w:r>
              <w:rPr>
                <w:rFonts w:ascii="Arial" w:cs="Arial" w:eastAsia="Arial" w:hAnsi="Arial"/>
                <w:sz w:val="12"/>
                <w:szCs w:val="12"/>
                <w:color w:val="auto"/>
              </w:rPr>
              <w:t>43,981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2"/>
                <w:szCs w:val="12"/>
                <w:i w:val="1"/>
                <w:iCs w:val="1"/>
                <w:color w:val="auto"/>
              </w:rPr>
              <w:t>(2)%</w:t>
            </w:r>
          </w:p>
        </w:tc>
      </w:tr>
      <w:tr>
        <w:trPr>
          <w:trHeight w:val="153"/>
        </w:trPr>
        <w:tc>
          <w:tcPr>
            <w:tcW w:w="62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Diluted</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44,353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44,708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i w:val="1"/>
                <w:iCs w:val="1"/>
                <w:color w:val="auto"/>
              </w:rPr>
              <w:t>(1)%</w:t>
            </w:r>
          </w:p>
        </w:tc>
      </w:tr>
      <w:tr>
        <w:trPr>
          <w:trHeight w:val="180"/>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Cash dividends declared per common share</w:t>
            </w:r>
          </w:p>
        </w:tc>
        <w:tc>
          <w:tcPr>
            <w:tcW w:w="260" w:type="dxa"/>
            <w:vAlign w:val="bottom"/>
            <w:gridSpan w:val="2"/>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0.175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w w:val="89"/>
              </w:rPr>
              <w:t>$</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0.175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 %</w:t>
            </w:r>
          </w:p>
        </w:tc>
      </w:tr>
      <w:tr>
        <w:trPr>
          <w:trHeight w:val="433"/>
        </w:trPr>
        <w:tc>
          <w:tcPr>
            <w:tcW w:w="6200" w:type="dxa"/>
            <w:vAlign w:val="bottom"/>
          </w:tcPr>
          <w:p>
            <w:pPr>
              <w:spacing w:after="0"/>
              <w:rPr>
                <w:sz w:val="20"/>
                <w:szCs w:val="20"/>
                <w:color w:val="auto"/>
              </w:rPr>
            </w:pPr>
            <w:r>
              <w:rPr>
                <w:rFonts w:ascii="Arial" w:cs="Arial" w:eastAsia="Arial" w:hAnsi="Arial"/>
                <w:sz w:val="10"/>
                <w:szCs w:val="10"/>
                <w:color w:val="auto"/>
              </w:rPr>
              <w:t>Stock-based compensation is included in the condensed consolidated statements of operations, as follows: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44"/>
        </w:trPr>
        <w:tc>
          <w:tcPr>
            <w:tcW w:w="6200" w:type="dxa"/>
            <w:vAlign w:val="bottom"/>
            <w:shd w:val="clear" w:color="auto" w:fill="CCEEFF"/>
          </w:tcPr>
          <w:p>
            <w:pPr>
              <w:spacing w:after="0"/>
              <w:rPr>
                <w:sz w:val="20"/>
                <w:szCs w:val="20"/>
                <w:color w:val="auto"/>
              </w:rPr>
            </w:pPr>
            <w:r>
              <w:rPr>
                <w:rFonts w:ascii="Arial" w:cs="Arial" w:eastAsia="Arial" w:hAnsi="Arial"/>
                <w:sz w:val="10"/>
                <w:szCs w:val="10"/>
                <w:color w:val="auto"/>
              </w:rPr>
              <w:t>Cost of revenue</w:t>
            </w:r>
          </w:p>
        </w:tc>
        <w:tc>
          <w:tcPr>
            <w:tcW w:w="260" w:type="dxa"/>
            <w:vAlign w:val="bottom"/>
            <w:gridSpan w:val="2"/>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0"/>
                <w:szCs w:val="10"/>
                <w:i w:val="1"/>
                <w:iCs w:val="1"/>
                <w:color w:val="auto"/>
              </w:rPr>
              <w:t>51 %</w:t>
            </w:r>
          </w:p>
        </w:tc>
      </w:tr>
      <w:tr>
        <w:trPr>
          <w:trHeight w:val="128"/>
        </w:trPr>
        <w:tc>
          <w:tcPr>
            <w:tcW w:w="6200" w:type="dxa"/>
            <w:vAlign w:val="bottom"/>
          </w:tcPr>
          <w:p>
            <w:pPr>
              <w:spacing w:after="0"/>
              <w:rPr>
                <w:sz w:val="20"/>
                <w:szCs w:val="20"/>
                <w:color w:val="auto"/>
              </w:rPr>
            </w:pPr>
            <w:r>
              <w:rPr>
                <w:rFonts w:ascii="Arial" w:cs="Arial" w:eastAsia="Arial" w:hAnsi="Arial"/>
                <w:sz w:val="10"/>
                <w:szCs w:val="10"/>
                <w:color w:val="auto"/>
              </w:rPr>
              <w:t>Sales and marketing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1,495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jc w:val="right"/>
              <w:spacing w:after="0"/>
              <w:rPr>
                <w:sz w:val="20"/>
                <w:szCs w:val="20"/>
                <w:color w:val="auto"/>
              </w:rPr>
            </w:pPr>
            <w:r>
              <w:rPr>
                <w:rFonts w:ascii="Arial" w:cs="Arial" w:eastAsia="Arial" w:hAnsi="Arial"/>
                <w:sz w:val="10"/>
                <w:szCs w:val="10"/>
                <w:color w:val="auto"/>
              </w:rPr>
              <w:t>1,402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2"/>
          </w:tcPr>
          <w:p>
            <w:pPr>
              <w:jc w:val="right"/>
              <w:spacing w:after="0"/>
              <w:rPr>
                <w:sz w:val="20"/>
                <w:szCs w:val="20"/>
                <w:color w:val="auto"/>
              </w:rPr>
            </w:pPr>
            <w:r>
              <w:rPr>
                <w:rFonts w:ascii="Arial" w:cs="Arial" w:eastAsia="Arial" w:hAnsi="Arial"/>
                <w:sz w:val="10"/>
                <w:szCs w:val="10"/>
                <w:i w:val="1"/>
                <w:iCs w:val="1"/>
                <w:color w:val="auto"/>
              </w:rPr>
              <w:t>7 %</w:t>
            </w:r>
          </w:p>
        </w:tc>
      </w:tr>
      <w:tr>
        <w:trPr>
          <w:trHeight w:val="142"/>
        </w:trPr>
        <w:tc>
          <w:tcPr>
            <w:tcW w:w="6200" w:type="dxa"/>
            <w:vAlign w:val="bottom"/>
            <w:shd w:val="clear" w:color="auto" w:fill="CCEEFF"/>
          </w:tcPr>
          <w:p>
            <w:pPr>
              <w:spacing w:after="0"/>
              <w:rPr>
                <w:sz w:val="20"/>
                <w:szCs w:val="20"/>
                <w:color w:val="auto"/>
              </w:rPr>
            </w:pPr>
            <w:r>
              <w:rPr>
                <w:rFonts w:ascii="Arial" w:cs="Arial" w:eastAsia="Arial" w:hAnsi="Arial"/>
                <w:sz w:val="10"/>
                <w:szCs w:val="10"/>
                <w:color w:val="auto"/>
              </w:rPr>
              <w:t>Product development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2,222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0"/>
                <w:szCs w:val="10"/>
                <w:i w:val="1"/>
                <w:iCs w:val="1"/>
                <w:color w:val="auto"/>
              </w:rPr>
              <w:t>35 %</w:t>
            </w:r>
          </w:p>
        </w:tc>
      </w:tr>
      <w:tr>
        <w:trPr>
          <w:trHeight w:val="128"/>
        </w:trPr>
        <w:tc>
          <w:tcPr>
            <w:tcW w:w="6200" w:type="dxa"/>
            <w:vAlign w:val="bottom"/>
          </w:tcPr>
          <w:p>
            <w:pPr>
              <w:spacing w:after="0"/>
              <w:rPr>
                <w:sz w:val="20"/>
                <w:szCs w:val="20"/>
                <w:color w:val="auto"/>
              </w:rPr>
            </w:pPr>
            <w:r>
              <w:rPr>
                <w:rFonts w:ascii="Arial" w:cs="Arial" w:eastAsia="Arial" w:hAnsi="Arial"/>
                <w:sz w:val="10"/>
                <w:szCs w:val="10"/>
                <w:color w:val="auto"/>
              </w:rPr>
              <w:t>General and administrative</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4,639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jc w:val="right"/>
              <w:spacing w:after="0"/>
              <w:rPr>
                <w:sz w:val="20"/>
                <w:szCs w:val="20"/>
                <w:color w:val="auto"/>
              </w:rPr>
            </w:pPr>
            <w:r>
              <w:rPr>
                <w:rFonts w:ascii="Arial" w:cs="Arial" w:eastAsia="Arial" w:hAnsi="Arial"/>
                <w:sz w:val="10"/>
                <w:szCs w:val="10"/>
                <w:color w:val="auto"/>
              </w:rPr>
              <w:t>4,079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2"/>
          </w:tcPr>
          <w:p>
            <w:pPr>
              <w:jc w:val="right"/>
              <w:spacing w:after="0"/>
              <w:rPr>
                <w:sz w:val="20"/>
                <w:szCs w:val="20"/>
                <w:color w:val="auto"/>
              </w:rPr>
            </w:pPr>
            <w:r>
              <w:rPr>
                <w:rFonts w:ascii="Arial" w:cs="Arial" w:eastAsia="Arial" w:hAnsi="Arial"/>
                <w:sz w:val="10"/>
                <w:szCs w:val="10"/>
                <w:i w:val="1"/>
                <w:iCs w:val="1"/>
                <w:color w:val="auto"/>
              </w:rPr>
              <w:t>14 %</w:t>
            </w:r>
          </w:p>
        </w:tc>
      </w:tr>
      <w:tr>
        <w:trPr>
          <w:trHeight w:val="147"/>
        </w:trPr>
        <w:tc>
          <w:tcPr>
            <w:tcW w:w="6200" w:type="dxa"/>
            <w:vAlign w:val="bottom"/>
            <w:tcBorders>
              <w:top w:val="single" w:sz="8" w:color="CCEEFF"/>
              <w:bottom w:val="single" w:sz="8" w:color="CCEEFF"/>
            </w:tcBorders>
            <w:shd w:val="clear" w:color="auto" w:fill="CCEEFF"/>
          </w:tcPr>
          <w:p>
            <w:pPr>
              <w:ind w:left="440"/>
              <w:spacing w:after="0" w:line="108" w:lineRule="exact"/>
              <w:rPr>
                <w:sz w:val="20"/>
                <w:szCs w:val="20"/>
                <w:color w:val="auto"/>
              </w:rPr>
            </w:pPr>
            <w:r>
              <w:rPr>
                <w:rFonts w:ascii="Arial" w:cs="Arial" w:eastAsia="Arial" w:hAnsi="Arial"/>
                <w:sz w:val="10"/>
                <w:szCs w:val="10"/>
                <w:color w:val="auto"/>
              </w:rPr>
              <w:t>Total</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9,752</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8,114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i w:val="1"/>
                <w:iCs w:val="1"/>
                <w:color w:val="auto"/>
              </w:rPr>
              <w:t>20 %</w:t>
            </w:r>
          </w:p>
        </w:tc>
      </w:tr>
    </w:tbl>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*not meaningful</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991"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40" w:type="dxa"/>
            <w:vAlign w:val="bottom"/>
          </w:tcPr>
          <w:p>
            <w:pPr>
              <w:spacing w:after="0"/>
              <w:rPr>
                <w:sz w:val="20"/>
                <w:szCs w:val="20"/>
                <w:color w:val="auto"/>
              </w:rPr>
            </w:pPr>
            <w:r>
              <w:rPr>
                <w:rFonts w:ascii="Arial" w:cs="Arial" w:eastAsia="Arial" w:hAnsi="Arial"/>
                <w:sz w:val="10"/>
                <w:szCs w:val="10"/>
                <w:i w:val="1"/>
                <w:iCs w:val="1"/>
                <w:color w:val="auto"/>
              </w:rPr>
              <w:t>(In thousands)</w:t>
            </w:r>
          </w:p>
        </w:tc>
        <w:tc>
          <w:tcPr>
            <w:tcW w:w="300" w:type="dxa"/>
            <w:vAlign w:val="bottom"/>
          </w:tcPr>
          <w:p>
            <w:pPr>
              <w:spacing w:after="0"/>
              <w:rPr>
                <w:sz w:val="13"/>
                <w:szCs w:val="13"/>
                <w:color w:val="auto"/>
              </w:rPr>
            </w:pPr>
          </w:p>
        </w:tc>
        <w:tc>
          <w:tcPr>
            <w:tcW w:w="1720" w:type="dxa"/>
            <w:vAlign w:val="bottom"/>
            <w:gridSpan w:val="2"/>
          </w:tcPr>
          <w:p>
            <w:pPr>
              <w:ind w:left="220"/>
              <w:spacing w:after="0"/>
              <w:rPr>
                <w:sz w:val="20"/>
                <w:szCs w:val="20"/>
                <w:color w:val="auto"/>
              </w:rPr>
            </w:pPr>
            <w:r>
              <w:rPr>
                <w:rFonts w:ascii="Arial" w:cs="Arial" w:eastAsia="Arial" w:hAnsi="Arial"/>
                <w:sz w:val="12"/>
                <w:szCs w:val="12"/>
                <w:color w:val="auto"/>
              </w:rPr>
              <w:t>February 28, 2023</w:t>
            </w:r>
          </w:p>
        </w:tc>
        <w:tc>
          <w:tcPr>
            <w:tcW w:w="280" w:type="dxa"/>
            <w:vAlign w:val="bottom"/>
          </w:tcPr>
          <w:p>
            <w:pPr>
              <w:spacing w:after="0"/>
              <w:rPr>
                <w:sz w:val="13"/>
                <w:szCs w:val="13"/>
                <w:color w:val="auto"/>
              </w:rPr>
            </w:pPr>
          </w:p>
        </w:tc>
        <w:tc>
          <w:tcPr>
            <w:tcW w:w="1660" w:type="dxa"/>
            <w:vAlign w:val="bottom"/>
          </w:tcPr>
          <w:p>
            <w:pPr>
              <w:jc w:val="right"/>
              <w:ind w:right="440"/>
              <w:spacing w:after="0"/>
              <w:rPr>
                <w:sz w:val="20"/>
                <w:szCs w:val="20"/>
                <w:color w:val="auto"/>
              </w:rPr>
            </w:pPr>
            <w:r>
              <w:rPr>
                <w:rFonts w:ascii="Arial" w:cs="Arial" w:eastAsia="Arial" w:hAnsi="Arial"/>
                <w:sz w:val="12"/>
                <w:szCs w:val="12"/>
                <w:color w:val="auto"/>
              </w:rPr>
              <w:t>November 30, 2022</w:t>
            </w:r>
          </w:p>
        </w:tc>
      </w:tr>
      <w:tr>
        <w:trPr>
          <w:trHeight w:val="133"/>
        </w:trPr>
        <w:tc>
          <w:tcPr>
            <w:tcW w:w="73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Assets</w:t>
            </w:r>
          </w:p>
        </w:tc>
        <w:tc>
          <w:tcPr>
            <w:tcW w:w="300" w:type="dxa"/>
            <w:vAlign w:val="bottom"/>
            <w:tcBorders>
              <w:top w:val="single" w:sz="8" w:color="auto"/>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r>
      <w:tr>
        <w:trPr>
          <w:trHeight w:val="153"/>
        </w:trPr>
        <w:tc>
          <w:tcPr>
            <w:tcW w:w="7340" w:type="dxa"/>
            <w:vAlign w:val="bottom"/>
          </w:tcPr>
          <w:p>
            <w:pPr>
              <w:spacing w:after="0"/>
              <w:rPr>
                <w:sz w:val="20"/>
                <w:szCs w:val="20"/>
                <w:color w:val="auto"/>
              </w:rPr>
            </w:pPr>
            <w:r>
              <w:rPr>
                <w:rFonts w:ascii="Arial" w:cs="Arial" w:eastAsia="Arial" w:hAnsi="Arial"/>
                <w:sz w:val="12"/>
                <w:szCs w:val="12"/>
                <w:color w:val="auto"/>
              </w:rPr>
              <w:t>Current assets:</w:t>
            </w: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3"/>
        </w:trPr>
        <w:tc>
          <w:tcPr>
            <w:tcW w:w="73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cash equivalents and short-term investments</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122,925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256,277</w:t>
            </w:r>
          </w:p>
        </w:tc>
      </w:tr>
      <w:tr>
        <w:trPr>
          <w:trHeight w:val="153"/>
        </w:trPr>
        <w:tc>
          <w:tcPr>
            <w:tcW w:w="7340" w:type="dxa"/>
            <w:vAlign w:val="bottom"/>
          </w:tcPr>
          <w:p>
            <w:pPr>
              <w:ind w:left="220"/>
              <w:spacing w:after="0"/>
              <w:rPr>
                <w:sz w:val="20"/>
                <w:szCs w:val="20"/>
                <w:color w:val="auto"/>
              </w:rPr>
            </w:pPr>
            <w:r>
              <w:rPr>
                <w:rFonts w:ascii="Arial" w:cs="Arial" w:eastAsia="Arial" w:hAnsi="Arial"/>
                <w:sz w:val="12"/>
                <w:szCs w:val="12"/>
                <w:color w:val="auto"/>
              </w:rPr>
              <w:t>Accounts receivable, net</w:t>
            </w:r>
          </w:p>
        </w:tc>
        <w:tc>
          <w:tcPr>
            <w:tcW w:w="3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93,347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97,834</w:t>
            </w:r>
          </w:p>
        </w:tc>
      </w:tr>
      <w:tr>
        <w:trPr>
          <w:trHeight w:val="153"/>
        </w:trPr>
        <w:tc>
          <w:tcPr>
            <w:tcW w:w="73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Unbilled receivables and contract assets, net</w:t>
            </w:r>
          </w:p>
        </w:tc>
        <w:tc>
          <w:tcPr>
            <w:tcW w:w="30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33,596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29,158</w:t>
            </w:r>
          </w:p>
        </w:tc>
      </w:tr>
      <w:tr>
        <w:trPr>
          <w:trHeight w:val="153"/>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Other current assets</w:t>
            </w: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42,833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42,784</w:t>
            </w:r>
          </w:p>
        </w:tc>
      </w:tr>
      <w:tr>
        <w:trPr>
          <w:trHeight w:val="142"/>
        </w:trPr>
        <w:tc>
          <w:tcPr>
            <w:tcW w:w="7340" w:type="dxa"/>
            <w:vAlign w:val="bottom"/>
            <w:shd w:val="clear" w:color="auto" w:fill="CCEEFF"/>
          </w:tcPr>
          <w:p>
            <w:pPr>
              <w:ind w:left="440"/>
              <w:spacing w:after="0" w:line="133" w:lineRule="exact"/>
              <w:rPr>
                <w:sz w:val="20"/>
                <w:szCs w:val="20"/>
                <w:color w:val="auto"/>
              </w:rPr>
            </w:pPr>
            <w:r>
              <w:rPr>
                <w:rFonts w:ascii="Arial" w:cs="Arial" w:eastAsia="Arial" w:hAnsi="Arial"/>
                <w:sz w:val="12"/>
                <w:szCs w:val="12"/>
                <w:color w:val="auto"/>
              </w:rPr>
              <w:t>Total current assets</w:t>
            </w:r>
          </w:p>
        </w:tc>
        <w:tc>
          <w:tcPr>
            <w:tcW w:w="30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292,701</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426,053</w:t>
            </w:r>
          </w:p>
        </w:tc>
      </w:tr>
      <w:tr>
        <w:trPr>
          <w:trHeight w:val="142"/>
        </w:trPr>
        <w:tc>
          <w:tcPr>
            <w:tcW w:w="7340" w:type="dxa"/>
            <w:vAlign w:val="bottom"/>
          </w:tcPr>
          <w:p>
            <w:pPr>
              <w:spacing w:after="0" w:line="133" w:lineRule="exact"/>
              <w:rPr>
                <w:sz w:val="20"/>
                <w:szCs w:val="20"/>
                <w:color w:val="auto"/>
              </w:rPr>
            </w:pPr>
            <w:r>
              <w:rPr>
                <w:rFonts w:ascii="Arial" w:cs="Arial" w:eastAsia="Arial" w:hAnsi="Arial"/>
                <w:sz w:val="12"/>
                <w:szCs w:val="12"/>
                <w:color w:val="auto"/>
              </w:rPr>
              <w:t>Property and equipment, net</w:t>
            </w:r>
          </w:p>
        </w:tc>
        <w:tc>
          <w:tcPr>
            <w:tcW w:w="30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14,981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14,927</w:t>
            </w:r>
          </w:p>
        </w:tc>
      </w:tr>
      <w:tr>
        <w:trPr>
          <w:trHeight w:val="153"/>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Goodwill and intangible assets, net</w:t>
            </w:r>
          </w:p>
        </w:tc>
        <w:tc>
          <w:tcPr>
            <w:tcW w:w="30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1,252,801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888,392</w:t>
            </w:r>
          </w:p>
        </w:tc>
      </w:tr>
      <w:tr>
        <w:trPr>
          <w:trHeight w:val="153"/>
        </w:trPr>
        <w:tc>
          <w:tcPr>
            <w:tcW w:w="7340" w:type="dxa"/>
            <w:vAlign w:val="bottom"/>
          </w:tcPr>
          <w:p>
            <w:pPr>
              <w:spacing w:after="0"/>
              <w:rPr>
                <w:sz w:val="20"/>
                <w:szCs w:val="20"/>
                <w:color w:val="auto"/>
              </w:rPr>
            </w:pPr>
            <w:r>
              <w:rPr>
                <w:rFonts w:ascii="Arial" w:cs="Arial" w:eastAsia="Arial" w:hAnsi="Arial"/>
                <w:sz w:val="12"/>
                <w:szCs w:val="12"/>
                <w:color w:val="auto"/>
              </w:rPr>
              <w:t>Right-of-use lease assets</w:t>
            </w:r>
          </w:p>
        </w:tc>
        <w:tc>
          <w:tcPr>
            <w:tcW w:w="3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21,768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17,574</w:t>
            </w:r>
          </w:p>
        </w:tc>
      </w:tr>
      <w:tr>
        <w:trPr>
          <w:trHeight w:val="153"/>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Long-term unbilled receivables and contract assets, net</w:t>
            </w:r>
          </w:p>
        </w:tc>
        <w:tc>
          <w:tcPr>
            <w:tcW w:w="30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47,922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39,936</w:t>
            </w:r>
          </w:p>
        </w:tc>
      </w:tr>
      <w:tr>
        <w:trPr>
          <w:trHeight w:val="153"/>
        </w:trPr>
        <w:tc>
          <w:tcPr>
            <w:tcW w:w="73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13,434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24,597</w:t>
            </w:r>
          </w:p>
        </w:tc>
      </w:tr>
      <w:tr>
        <w:trPr>
          <w:trHeight w:val="162"/>
        </w:trPr>
        <w:tc>
          <w:tcPr>
            <w:tcW w:w="7340" w:type="dxa"/>
            <w:vAlign w:val="bottom"/>
            <w:tcBorders>
              <w:bottom w:val="single" w:sz="8" w:color="CCEEFF"/>
            </w:tcBorders>
            <w:shd w:val="clear" w:color="auto" w:fill="CCEEFF"/>
          </w:tcPr>
          <w:p>
            <w:pPr>
              <w:ind w:left="440"/>
              <w:spacing w:after="0" w:line="133" w:lineRule="exact"/>
              <w:rPr>
                <w:sz w:val="20"/>
                <w:szCs w:val="20"/>
                <w:color w:val="auto"/>
              </w:rPr>
            </w:pPr>
            <w:r>
              <w:rPr>
                <w:rFonts w:ascii="Arial" w:cs="Arial" w:eastAsia="Arial" w:hAnsi="Arial"/>
                <w:sz w:val="12"/>
                <w:szCs w:val="12"/>
                <w:color w:val="auto"/>
              </w:rPr>
              <w:t>Total assets</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1,643,607</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1,411,479</w:t>
            </w:r>
          </w:p>
        </w:tc>
      </w:tr>
      <w:tr>
        <w:trPr>
          <w:trHeight w:val="131"/>
        </w:trPr>
        <w:tc>
          <w:tcPr>
            <w:tcW w:w="7340" w:type="dxa"/>
            <w:vAlign w:val="bottom"/>
          </w:tcPr>
          <w:p>
            <w:pPr>
              <w:spacing w:after="0" w:line="131" w:lineRule="exact"/>
              <w:rPr>
                <w:sz w:val="20"/>
                <w:szCs w:val="20"/>
                <w:color w:val="auto"/>
              </w:rPr>
            </w:pPr>
            <w:r>
              <w:rPr>
                <w:rFonts w:ascii="Arial" w:cs="Arial" w:eastAsia="Arial" w:hAnsi="Arial"/>
                <w:sz w:val="12"/>
                <w:szCs w:val="12"/>
                <w:color w:val="auto"/>
              </w:rPr>
              <w:t>Liabilities and shareholders’ equity</w:t>
            </w: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53"/>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3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53"/>
        </w:trPr>
        <w:tc>
          <w:tcPr>
            <w:tcW w:w="7340" w:type="dxa"/>
            <w:vAlign w:val="bottom"/>
          </w:tcPr>
          <w:p>
            <w:pPr>
              <w:ind w:left="220"/>
              <w:spacing w:after="0"/>
              <w:rPr>
                <w:sz w:val="20"/>
                <w:szCs w:val="20"/>
                <w:color w:val="auto"/>
              </w:rPr>
            </w:pPr>
            <w:r>
              <w:rPr>
                <w:rFonts w:ascii="Arial" w:cs="Arial" w:eastAsia="Arial" w:hAnsi="Arial"/>
                <w:sz w:val="12"/>
                <w:szCs w:val="12"/>
                <w:color w:val="auto"/>
              </w:rPr>
              <w:t>Accounts payable and other current liabilities</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75,150</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76,629</w:t>
            </w:r>
          </w:p>
        </w:tc>
      </w:tr>
      <w:tr>
        <w:trPr>
          <w:trHeight w:val="153"/>
        </w:trPr>
        <w:tc>
          <w:tcPr>
            <w:tcW w:w="73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Current portion of long-term debt, net</w:t>
            </w:r>
          </w:p>
        </w:tc>
        <w:tc>
          <w:tcPr>
            <w:tcW w:w="30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6,234</w:t>
            </w:r>
          </w:p>
        </w:tc>
      </w:tr>
      <w:tr>
        <w:trPr>
          <w:trHeight w:val="153"/>
        </w:trPr>
        <w:tc>
          <w:tcPr>
            <w:tcW w:w="7340" w:type="dxa"/>
            <w:vAlign w:val="bottom"/>
          </w:tcPr>
          <w:p>
            <w:pPr>
              <w:ind w:left="220"/>
              <w:spacing w:after="0"/>
              <w:rPr>
                <w:sz w:val="20"/>
                <w:szCs w:val="20"/>
                <w:color w:val="auto"/>
              </w:rPr>
            </w:pPr>
            <w:r>
              <w:rPr>
                <w:rFonts w:ascii="Arial" w:cs="Arial" w:eastAsia="Arial" w:hAnsi="Arial"/>
                <w:sz w:val="12"/>
                <w:szCs w:val="12"/>
                <w:color w:val="auto"/>
              </w:rPr>
              <w:t>Short-term operating lease liabilities</w:t>
            </w:r>
          </w:p>
        </w:tc>
        <w:tc>
          <w:tcPr>
            <w:tcW w:w="3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9,321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7,471</w:t>
            </w:r>
          </w:p>
        </w:tc>
      </w:tr>
      <w:tr>
        <w:trPr>
          <w:trHeight w:val="153"/>
        </w:trPr>
        <w:tc>
          <w:tcPr>
            <w:tcW w:w="73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Short-term deferred revenue, net</w:t>
            </w:r>
          </w:p>
        </w:tc>
        <w:tc>
          <w:tcPr>
            <w:tcW w:w="30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244,733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227,670</w:t>
            </w:r>
          </w:p>
        </w:tc>
      </w:tr>
      <w:tr>
        <w:trPr>
          <w:trHeight w:val="142"/>
        </w:trPr>
        <w:tc>
          <w:tcPr>
            <w:tcW w:w="7340" w:type="dxa"/>
            <w:vAlign w:val="bottom"/>
            <w:tcBorders>
              <w:bottom w:val="single" w:sz="8" w:color="CCEEFF"/>
            </w:tcBorders>
          </w:tcPr>
          <w:p>
            <w:pPr>
              <w:ind w:left="440"/>
              <w:spacing w:after="0" w:line="133" w:lineRule="exact"/>
              <w:rPr>
                <w:sz w:val="20"/>
                <w:szCs w:val="20"/>
                <w:color w:val="auto"/>
              </w:rPr>
            </w:pPr>
            <w:r>
              <w:rPr>
                <w:rFonts w:ascii="Arial" w:cs="Arial" w:eastAsia="Arial" w:hAnsi="Arial"/>
                <w:sz w:val="12"/>
                <w:szCs w:val="12"/>
                <w:color w:val="auto"/>
              </w:rPr>
              <w:t>Total current liabilities</w:t>
            </w:r>
          </w:p>
        </w:tc>
        <w:tc>
          <w:tcPr>
            <w:tcW w:w="3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337,157</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318,004</w:t>
            </w:r>
          </w:p>
        </w:tc>
      </w:tr>
      <w:tr>
        <w:trPr>
          <w:trHeight w:val="142"/>
        </w:trPr>
        <w:tc>
          <w:tcPr>
            <w:tcW w:w="73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Long-term debt, net</w:t>
            </w:r>
          </w:p>
        </w:tc>
        <w:tc>
          <w:tcPr>
            <w:tcW w:w="30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450,943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259,220</w:t>
            </w:r>
          </w:p>
        </w:tc>
      </w:tr>
      <w:tr>
        <w:trPr>
          <w:trHeight w:val="153"/>
        </w:trPr>
        <w:tc>
          <w:tcPr>
            <w:tcW w:w="7340" w:type="dxa"/>
            <w:vAlign w:val="bottom"/>
          </w:tcPr>
          <w:p>
            <w:pPr>
              <w:spacing w:after="0"/>
              <w:rPr>
                <w:sz w:val="20"/>
                <w:szCs w:val="20"/>
                <w:color w:val="auto"/>
              </w:rPr>
            </w:pPr>
            <w:r>
              <w:rPr>
                <w:rFonts w:ascii="Arial" w:cs="Arial" w:eastAsia="Arial" w:hAnsi="Arial"/>
                <w:sz w:val="12"/>
                <w:szCs w:val="12"/>
                <w:color w:val="auto"/>
              </w:rPr>
              <w:t>Convertible senior notes, net</w:t>
            </w:r>
          </w:p>
        </w:tc>
        <w:tc>
          <w:tcPr>
            <w:tcW w:w="3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353,159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352,625</w:t>
            </w:r>
          </w:p>
        </w:tc>
      </w:tr>
      <w:tr>
        <w:trPr>
          <w:trHeight w:val="153"/>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Long-term operating lease liabilities</w:t>
            </w:r>
          </w:p>
        </w:tc>
        <w:tc>
          <w:tcPr>
            <w:tcW w:w="30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17,341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15,041</w:t>
            </w:r>
          </w:p>
        </w:tc>
      </w:tr>
      <w:tr>
        <w:trPr>
          <w:trHeight w:val="153"/>
        </w:trPr>
        <w:tc>
          <w:tcPr>
            <w:tcW w:w="7340" w:type="dxa"/>
            <w:vAlign w:val="bottom"/>
          </w:tcPr>
          <w:p>
            <w:pPr>
              <w:spacing w:after="0"/>
              <w:rPr>
                <w:sz w:val="20"/>
                <w:szCs w:val="20"/>
                <w:color w:val="auto"/>
              </w:rPr>
            </w:pPr>
            <w:r>
              <w:rPr>
                <w:rFonts w:ascii="Arial" w:cs="Arial" w:eastAsia="Arial" w:hAnsi="Arial"/>
                <w:sz w:val="12"/>
                <w:szCs w:val="12"/>
                <w:color w:val="auto"/>
              </w:rPr>
              <w:t>Long-term deferred revenue, net</w:t>
            </w:r>
          </w:p>
        </w:tc>
        <w:tc>
          <w:tcPr>
            <w:tcW w:w="3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57,114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54,770</w:t>
            </w:r>
          </w:p>
        </w:tc>
      </w:tr>
      <w:tr>
        <w:trPr>
          <w:trHeight w:val="153"/>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30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14,450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13,315</w:t>
            </w:r>
          </w:p>
        </w:tc>
      </w:tr>
      <w:tr>
        <w:trPr>
          <w:trHeight w:val="153"/>
        </w:trPr>
        <w:tc>
          <w:tcPr>
            <w:tcW w:w="7340" w:type="dxa"/>
            <w:vAlign w:val="bottom"/>
          </w:tcPr>
          <w:p>
            <w:pPr>
              <w:spacing w:after="0"/>
              <w:rPr>
                <w:sz w:val="20"/>
                <w:szCs w:val="20"/>
                <w:color w:val="auto"/>
              </w:rPr>
            </w:pPr>
            <w:r>
              <w:rPr>
                <w:rFonts w:ascii="Arial" w:cs="Arial" w:eastAsia="Arial" w:hAnsi="Arial"/>
                <w:sz w:val="12"/>
                <w:szCs w:val="12"/>
                <w:color w:val="auto"/>
              </w:rPr>
              <w:t>Shareholders’ equity:</w:t>
            </w: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3"/>
        </w:trPr>
        <w:tc>
          <w:tcPr>
            <w:tcW w:w="73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Common stock and additional paid-in capital</w:t>
            </w:r>
          </w:p>
        </w:tc>
        <w:tc>
          <w:tcPr>
            <w:tcW w:w="30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338,803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332,083</w:t>
            </w:r>
          </w:p>
        </w:tc>
      </w:tr>
      <w:tr>
        <w:trPr>
          <w:trHeight w:val="153"/>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Retained earnings</w:t>
            </w: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74,640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66,421</w:t>
            </w:r>
          </w:p>
        </w:tc>
      </w:tr>
      <w:tr>
        <w:trPr>
          <w:trHeight w:val="142"/>
        </w:trPr>
        <w:tc>
          <w:tcPr>
            <w:tcW w:w="7340" w:type="dxa"/>
            <w:vAlign w:val="bottom"/>
            <w:shd w:val="clear" w:color="auto" w:fill="CCEEFF"/>
          </w:tcPr>
          <w:p>
            <w:pPr>
              <w:ind w:left="440"/>
              <w:spacing w:after="0" w:line="133" w:lineRule="exact"/>
              <w:rPr>
                <w:sz w:val="20"/>
                <w:szCs w:val="20"/>
                <w:color w:val="auto"/>
              </w:rPr>
            </w:pPr>
            <w:r>
              <w:rPr>
                <w:rFonts w:ascii="Arial" w:cs="Arial" w:eastAsia="Arial" w:hAnsi="Arial"/>
                <w:sz w:val="12"/>
                <w:szCs w:val="12"/>
                <w:color w:val="auto"/>
              </w:rPr>
              <w:t>Total shareholders’ equity</w:t>
            </w:r>
          </w:p>
        </w:tc>
        <w:tc>
          <w:tcPr>
            <w:tcW w:w="30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413,443</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398,504</w:t>
            </w:r>
          </w:p>
        </w:tc>
      </w:tr>
      <w:tr>
        <w:trPr>
          <w:trHeight w:val="142"/>
        </w:trPr>
        <w:tc>
          <w:tcPr>
            <w:tcW w:w="7340" w:type="dxa"/>
            <w:vAlign w:val="bottom"/>
          </w:tcPr>
          <w:p>
            <w:pPr>
              <w:ind w:left="440"/>
              <w:spacing w:after="0" w:line="133" w:lineRule="exact"/>
              <w:rPr>
                <w:sz w:val="20"/>
                <w:szCs w:val="20"/>
                <w:color w:val="auto"/>
              </w:rPr>
            </w:pPr>
            <w:r>
              <w:rPr>
                <w:rFonts w:ascii="Arial" w:cs="Arial" w:eastAsia="Arial" w:hAnsi="Arial"/>
                <w:sz w:val="12"/>
                <w:szCs w:val="12"/>
                <w:color w:val="auto"/>
              </w:rPr>
              <w:t>Total liabilities and shareholders’ equity</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1,643,607</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1,411,479</w:t>
            </w:r>
          </w:p>
        </w:tc>
      </w:tr>
      <w:tr>
        <w:trPr>
          <w:trHeight w:val="20"/>
        </w:trPr>
        <w:tc>
          <w:tcPr>
            <w:tcW w:w="7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991"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4"/>
          </w:tcPr>
          <w:p>
            <w:pPr>
              <w:jc w:val="right"/>
              <w:ind w:right="1240"/>
              <w:spacing w:after="0"/>
              <w:rPr>
                <w:sz w:val="20"/>
                <w:szCs w:val="20"/>
                <w:color w:val="auto"/>
              </w:rPr>
            </w:pPr>
            <w:r>
              <w:rPr>
                <w:rFonts w:ascii="Arial" w:cs="Arial" w:eastAsia="Arial" w:hAnsi="Arial"/>
                <w:sz w:val="12"/>
                <w:szCs w:val="12"/>
                <w:color w:val="auto"/>
              </w:rPr>
              <w:t>Three Months Ended</w:t>
            </w:r>
          </w:p>
        </w:tc>
      </w:tr>
      <w:tr>
        <w:trPr>
          <w:trHeight w:val="142"/>
        </w:trPr>
        <w:tc>
          <w:tcPr>
            <w:tcW w:w="7680" w:type="dxa"/>
            <w:vAlign w:val="bottom"/>
          </w:tcPr>
          <w:p>
            <w:pPr>
              <w:spacing w:after="0"/>
              <w:rPr>
                <w:sz w:val="20"/>
                <w:szCs w:val="20"/>
                <w:color w:val="auto"/>
              </w:rPr>
            </w:pPr>
            <w:r>
              <w:rPr>
                <w:rFonts w:ascii="Arial" w:cs="Arial" w:eastAsia="Arial" w:hAnsi="Arial"/>
                <w:sz w:val="10"/>
                <w:szCs w:val="10"/>
                <w:i w:val="1"/>
                <w:iCs w:val="1"/>
                <w:color w:val="auto"/>
              </w:rPr>
              <w:t>(In thousands)</w:t>
            </w:r>
          </w:p>
        </w:tc>
        <w:tc>
          <w:tcPr>
            <w:tcW w:w="260" w:type="dxa"/>
            <w:vAlign w:val="bottom"/>
          </w:tcPr>
          <w:p>
            <w:pPr>
              <w:spacing w:after="0"/>
              <w:rPr>
                <w:sz w:val="12"/>
                <w:szCs w:val="12"/>
                <w:color w:val="auto"/>
              </w:rPr>
            </w:pPr>
          </w:p>
        </w:tc>
        <w:tc>
          <w:tcPr>
            <w:tcW w:w="1600" w:type="dxa"/>
            <w:vAlign w:val="bottom"/>
            <w:gridSpan w:val="2"/>
          </w:tcPr>
          <w:p>
            <w:pPr>
              <w:ind w:left="180"/>
              <w:spacing w:after="0"/>
              <w:rPr>
                <w:sz w:val="20"/>
                <w:szCs w:val="20"/>
                <w:color w:val="auto"/>
              </w:rPr>
            </w:pPr>
            <w:r>
              <w:rPr>
                <w:rFonts w:ascii="Arial" w:cs="Arial" w:eastAsia="Arial" w:hAnsi="Arial"/>
                <w:sz w:val="12"/>
                <w:szCs w:val="12"/>
                <w:color w:val="auto"/>
              </w:rPr>
              <w:t>February 28, 2023</w:t>
            </w:r>
          </w:p>
        </w:tc>
        <w:tc>
          <w:tcPr>
            <w:tcW w:w="240" w:type="dxa"/>
            <w:vAlign w:val="bottom"/>
          </w:tcPr>
          <w:p>
            <w:pPr>
              <w:spacing w:after="0"/>
              <w:rPr>
                <w:sz w:val="12"/>
                <w:szCs w:val="12"/>
                <w:color w:val="auto"/>
              </w:rPr>
            </w:pPr>
          </w:p>
        </w:tc>
        <w:tc>
          <w:tcPr>
            <w:tcW w:w="1520" w:type="dxa"/>
            <w:vAlign w:val="bottom"/>
          </w:tcPr>
          <w:p>
            <w:pPr>
              <w:jc w:val="right"/>
              <w:ind w:right="380"/>
              <w:spacing w:after="0"/>
              <w:rPr>
                <w:sz w:val="20"/>
                <w:szCs w:val="20"/>
                <w:color w:val="auto"/>
              </w:rPr>
            </w:pPr>
            <w:r>
              <w:rPr>
                <w:rFonts w:ascii="Arial" w:cs="Arial" w:eastAsia="Arial" w:hAnsi="Arial"/>
                <w:sz w:val="12"/>
                <w:szCs w:val="12"/>
                <w:color w:val="auto"/>
              </w:rPr>
              <w:t>February 28, 2022</w:t>
            </w:r>
          </w:p>
        </w:tc>
      </w:tr>
      <w:tr>
        <w:trPr>
          <w:trHeight w:val="133"/>
        </w:trPr>
        <w:tc>
          <w:tcPr>
            <w:tcW w:w="76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Cash flows from operating activities:</w:t>
            </w:r>
          </w:p>
        </w:tc>
        <w:tc>
          <w:tcPr>
            <w:tcW w:w="26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r>
      <w:tr>
        <w:trPr>
          <w:trHeight w:val="153"/>
        </w:trPr>
        <w:tc>
          <w:tcPr>
            <w:tcW w:w="7680" w:type="dxa"/>
            <w:vAlign w:val="bottom"/>
          </w:tcPr>
          <w:p>
            <w:pPr>
              <w:ind w:left="220"/>
              <w:spacing w:after="0"/>
              <w:rPr>
                <w:sz w:val="20"/>
                <w:szCs w:val="20"/>
                <w:color w:val="auto"/>
              </w:rPr>
            </w:pPr>
            <w:r>
              <w:rPr>
                <w:rFonts w:ascii="Arial" w:cs="Arial" w:eastAsia="Arial" w:hAnsi="Arial"/>
                <w:sz w:val="12"/>
                <w:szCs w:val="12"/>
                <w:color w:val="auto"/>
              </w:rPr>
              <w:t>Net income</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23,674</w:t>
            </w:r>
          </w:p>
        </w:tc>
        <w:tc>
          <w:tcPr>
            <w:tcW w:w="10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20,454</w:t>
            </w:r>
          </w:p>
        </w:tc>
      </w:tr>
      <w:tr>
        <w:trPr>
          <w:trHeight w:val="153"/>
        </w:trPr>
        <w:tc>
          <w:tcPr>
            <w:tcW w:w="7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Depreciation and amortization</w:t>
            </w: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22,142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19,218</w:t>
            </w:r>
          </w:p>
        </w:tc>
      </w:tr>
      <w:tr>
        <w:trPr>
          <w:trHeight w:val="153"/>
        </w:trPr>
        <w:tc>
          <w:tcPr>
            <w:tcW w:w="7680" w:type="dxa"/>
            <w:vAlign w:val="bottom"/>
          </w:tcPr>
          <w:p>
            <w:pPr>
              <w:ind w:left="440"/>
              <w:spacing w:after="0"/>
              <w:rPr>
                <w:sz w:val="20"/>
                <w:szCs w:val="20"/>
                <w:color w:val="auto"/>
              </w:rPr>
            </w:pPr>
            <w:r>
              <w:rPr>
                <w:rFonts w:ascii="Arial" w:cs="Arial" w:eastAsia="Arial" w:hAnsi="Arial"/>
                <w:sz w:val="12"/>
                <w:szCs w:val="12"/>
                <w:color w:val="auto"/>
              </w:rPr>
              <w:t>Stock-based compensation</w:t>
            </w: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9,752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8,114</w:t>
            </w:r>
          </w:p>
        </w:tc>
      </w:tr>
      <w:tr>
        <w:trPr>
          <w:trHeight w:val="153"/>
        </w:trPr>
        <w:tc>
          <w:tcPr>
            <w:tcW w:w="7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Other non-cash adjustments</w:t>
            </w: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4,442</w:t>
            </w:r>
          </w:p>
        </w:tc>
      </w:tr>
      <w:tr>
        <w:trPr>
          <w:trHeight w:val="153"/>
        </w:trPr>
        <w:tc>
          <w:tcPr>
            <w:tcW w:w="76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Changes in operating assets and liabilities</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(4,594)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(8,135)</w:t>
            </w:r>
          </w:p>
        </w:tc>
      </w:tr>
      <w:tr>
        <w:trPr>
          <w:trHeight w:val="142"/>
        </w:trPr>
        <w:tc>
          <w:tcPr>
            <w:tcW w:w="76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Net cash flows from operating activities</w:t>
            </w:r>
          </w:p>
        </w:tc>
        <w:tc>
          <w:tcPr>
            <w:tcW w:w="2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46,767</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44,093</w:t>
            </w:r>
          </w:p>
        </w:tc>
      </w:tr>
      <w:tr>
        <w:trPr>
          <w:trHeight w:val="142"/>
        </w:trPr>
        <w:tc>
          <w:tcPr>
            <w:tcW w:w="7680" w:type="dxa"/>
            <w:vAlign w:val="bottom"/>
          </w:tcPr>
          <w:p>
            <w:pPr>
              <w:spacing w:after="0"/>
              <w:rPr>
                <w:sz w:val="20"/>
                <w:szCs w:val="20"/>
                <w:color w:val="auto"/>
              </w:rPr>
            </w:pPr>
            <w:r>
              <w:rPr>
                <w:rFonts w:ascii="Arial" w:cs="Arial" w:eastAsia="Arial" w:hAnsi="Arial"/>
                <w:sz w:val="12"/>
                <w:szCs w:val="12"/>
                <w:color w:val="auto"/>
              </w:rPr>
              <w:t>Capital expenditures</w:t>
            </w:r>
          </w:p>
        </w:tc>
        <w:tc>
          <w:tcPr>
            <w:tcW w:w="2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(385)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(831)</w:t>
            </w:r>
          </w:p>
        </w:tc>
      </w:tr>
      <w:tr>
        <w:trPr>
          <w:trHeight w:val="153"/>
        </w:trPr>
        <w:tc>
          <w:tcPr>
            <w:tcW w:w="7680" w:type="dxa"/>
            <w:vAlign w:val="bottom"/>
            <w:shd w:val="clear" w:color="auto" w:fill="CCEEFF"/>
          </w:tcPr>
          <w:p>
            <w:pPr>
              <w:spacing w:after="0"/>
              <w:rPr>
                <w:sz w:val="20"/>
                <w:szCs w:val="20"/>
                <w:color w:val="auto"/>
              </w:rPr>
            </w:pPr>
            <w:r>
              <w:rPr>
                <w:rFonts w:ascii="Arial" w:cs="Arial" w:eastAsia="Arial" w:hAnsi="Arial"/>
                <w:sz w:val="12"/>
                <w:szCs w:val="12"/>
                <w:color w:val="auto"/>
              </w:rPr>
              <w:t>Repurchases of common stock, net of issuances</w:t>
            </w: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(5,643)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(20,906)</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Dividend payments to shareholders</w:t>
            </w: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(8,023)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(7,784)</w:t>
            </w:r>
          </w:p>
        </w:tc>
      </w:tr>
      <w:tr>
        <w:trPr>
          <w:trHeight w:val="153"/>
        </w:trPr>
        <w:tc>
          <w:tcPr>
            <w:tcW w:w="7680" w:type="dxa"/>
            <w:vAlign w:val="bottom"/>
            <w:shd w:val="clear" w:color="auto" w:fill="CCEEFF"/>
          </w:tcPr>
          <w:p>
            <w:pPr>
              <w:spacing w:after="0"/>
              <w:rPr>
                <w:sz w:val="20"/>
                <w:szCs w:val="20"/>
                <w:color w:val="auto"/>
              </w:rPr>
            </w:pPr>
            <w:r>
              <w:rPr>
                <w:rFonts w:ascii="Arial" w:cs="Arial" w:eastAsia="Arial" w:hAnsi="Arial"/>
                <w:sz w:val="12"/>
                <w:szCs w:val="12"/>
                <w:color w:val="auto"/>
              </w:rPr>
              <w:t>Payments for acquisitions, net of cash acquired</w:t>
            </w: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(355,821)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Proceeds from the issuance of debt, net of payment of issuance costs</w:t>
            </w: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195,000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5,517</w:t>
            </w:r>
          </w:p>
        </w:tc>
      </w:tr>
      <w:tr>
        <w:trPr>
          <w:trHeight w:val="153"/>
        </w:trPr>
        <w:tc>
          <w:tcPr>
            <w:tcW w:w="7680" w:type="dxa"/>
            <w:vAlign w:val="bottom"/>
            <w:shd w:val="clear" w:color="auto" w:fill="CCEEFF"/>
          </w:tcPr>
          <w:p>
            <w:pPr>
              <w:spacing w:after="0"/>
              <w:rPr>
                <w:sz w:val="20"/>
                <w:szCs w:val="20"/>
                <w:color w:val="auto"/>
              </w:rPr>
            </w:pPr>
            <w:r>
              <w:rPr>
                <w:rFonts w:ascii="Arial" w:cs="Arial" w:eastAsia="Arial" w:hAnsi="Arial"/>
                <w:sz w:val="12"/>
                <w:szCs w:val="12"/>
                <w:color w:val="auto"/>
              </w:rPr>
              <w:t>Payments of principal on long-term debt</w:t>
            </w: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(1,719)</w:t>
            </w:r>
          </w:p>
        </w:tc>
      </w:tr>
      <w:tr>
        <w:trPr>
          <w:trHeight w:val="153"/>
        </w:trPr>
        <w:tc>
          <w:tcPr>
            <w:tcW w:w="7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(2,421)</w:t>
            </w:r>
          </w:p>
        </w:tc>
      </w:tr>
      <w:tr>
        <w:trPr>
          <w:trHeight w:val="142"/>
        </w:trPr>
        <w:tc>
          <w:tcPr>
            <w:tcW w:w="7680" w:type="dxa"/>
            <w:vAlign w:val="bottom"/>
            <w:shd w:val="clear" w:color="auto" w:fill="CCEEFF"/>
          </w:tcPr>
          <w:p>
            <w:pPr>
              <w:spacing w:after="0"/>
              <w:rPr>
                <w:sz w:val="20"/>
                <w:szCs w:val="20"/>
                <w:color w:val="auto"/>
              </w:rPr>
            </w:pPr>
            <w:r>
              <w:rPr>
                <w:rFonts w:ascii="Arial" w:cs="Arial" w:eastAsia="Arial" w:hAnsi="Arial"/>
                <w:sz w:val="12"/>
                <w:szCs w:val="12"/>
                <w:color w:val="auto"/>
              </w:rPr>
              <w:t>Net change in cash, cash equivalents and short-term investments</w:t>
            </w:r>
          </w:p>
        </w:tc>
        <w:tc>
          <w:tcPr>
            <w:tcW w:w="2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(133,352)</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15,949</w:t>
            </w:r>
          </w:p>
        </w:tc>
      </w:tr>
      <w:tr>
        <w:trPr>
          <w:trHeight w:val="142"/>
        </w:trPr>
        <w:tc>
          <w:tcPr>
            <w:tcW w:w="7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cash equivalents and short-term investments, beginning of period</w:t>
            </w: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256,277</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157,373</w:t>
            </w:r>
          </w:p>
        </w:tc>
      </w:tr>
      <w:tr>
        <w:trPr>
          <w:trHeight w:val="158"/>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cash equivalents and short-term investments, end of period</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122,925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173,322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991"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RECONCILIATIONS OF GAAP TO NON-GAAP SELECTED FINANCIAL MEASURES</w:t>
      </w:r>
      <w:r>
        <w:rPr>
          <w:rFonts w:ascii="Arial" w:cs="Arial" w:eastAsia="Arial" w:hAnsi="Arial"/>
          <w:sz w:val="15"/>
          <w:szCs w:val="15"/>
          <w:b w:val="1"/>
          <w:bCs w:val="1"/>
          <w:color w:val="auto"/>
          <w:vertAlign w:val="superscript"/>
        </w:rPr>
        <w:t>1</w:t>
      </w:r>
    </w:p>
    <w:p>
      <w:pPr>
        <w:spacing w:after="0"/>
        <w:rPr>
          <w:sz w:val="20"/>
          <w:szCs w:val="20"/>
          <w:color w:val="auto"/>
        </w:rPr>
      </w:pPr>
      <w:r>
        <w:rPr>
          <w:rFonts w:ascii="Arial" w:cs="Arial" w:eastAsia="Arial" w:hAnsi="Arial"/>
          <w:sz w:val="12"/>
          <w:szCs w:val="12"/>
          <w:color w:val="auto"/>
        </w:rPr>
        <w:t>(Unaudited)</w:t>
      </w:r>
    </w:p>
    <w:p>
      <w:pPr>
        <w:spacing w:after="0" w:line="77" w:lineRule="exact"/>
        <w:rPr>
          <w:sz w:val="20"/>
          <w:szCs w:val="20"/>
          <w:color w:val="auto"/>
        </w:rPr>
      </w:pPr>
    </w:p>
    <w:tbl>
      <w:tblPr>
        <w:tblLayout w:type="fixed"/>
        <w:tblInd w:w="160" w:type="dxa"/>
        <w:tblCellMar>
          <w:top w:w="0" w:type="dxa"/>
          <w:left w:w="0" w:type="dxa"/>
          <w:bottom w:w="0" w:type="dxa"/>
          <w:right w:w="0" w:type="dxa"/>
        </w:tblCellMar>
      </w:tblPr>
      <w:tr>
        <w:trPr>
          <w:trHeight w:val="153"/>
        </w:trPr>
        <w:tc>
          <w:tcPr>
            <w:tcW w:w="7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Three Months Ended</w:t>
            </w: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20"/>
                <w:szCs w:val="20"/>
                <w:color w:val="auto"/>
              </w:rPr>
            </w:pPr>
            <w:r>
              <w:rPr>
                <w:rFonts w:ascii="Arial" w:cs="Arial" w:eastAsia="Arial" w:hAnsi="Arial"/>
                <w:sz w:val="10"/>
                <w:szCs w:val="10"/>
                <w:i w:val="1"/>
                <w:iCs w:val="1"/>
                <w:color w:val="auto"/>
              </w:rPr>
              <w:t>(In thousands, except per share data)</w:t>
            </w:r>
          </w:p>
        </w:tc>
        <w:tc>
          <w:tcPr>
            <w:tcW w:w="280" w:type="dxa"/>
            <w:vAlign w:val="bottom"/>
          </w:tcPr>
          <w:p>
            <w:pPr>
              <w:spacing w:after="0"/>
              <w:rPr>
                <w:sz w:val="12"/>
                <w:szCs w:val="12"/>
                <w:color w:val="auto"/>
              </w:rPr>
            </w:pPr>
          </w:p>
        </w:tc>
        <w:tc>
          <w:tcPr>
            <w:tcW w:w="1700" w:type="dxa"/>
            <w:vAlign w:val="bottom"/>
            <w:gridSpan w:val="2"/>
          </w:tcPr>
          <w:p>
            <w:pPr>
              <w:ind w:left="220"/>
              <w:spacing w:after="0"/>
              <w:rPr>
                <w:sz w:val="20"/>
                <w:szCs w:val="20"/>
                <w:color w:val="auto"/>
              </w:rPr>
            </w:pPr>
            <w:r>
              <w:rPr>
                <w:rFonts w:ascii="Arial" w:cs="Arial" w:eastAsia="Arial" w:hAnsi="Arial"/>
                <w:sz w:val="12"/>
                <w:szCs w:val="12"/>
                <w:color w:val="auto"/>
              </w:rPr>
              <w:t>February 28, 2023</w:t>
            </w:r>
          </w:p>
        </w:tc>
        <w:tc>
          <w:tcPr>
            <w:tcW w:w="460" w:type="dxa"/>
            <w:vAlign w:val="bottom"/>
          </w:tcPr>
          <w:p>
            <w:pPr>
              <w:spacing w:after="0"/>
              <w:rPr>
                <w:sz w:val="12"/>
                <w:szCs w:val="12"/>
                <w:color w:val="auto"/>
              </w:rPr>
            </w:pPr>
          </w:p>
        </w:tc>
        <w:tc>
          <w:tcPr>
            <w:tcW w:w="1400" w:type="dxa"/>
            <w:vAlign w:val="bottom"/>
          </w:tcPr>
          <w:p>
            <w:pPr>
              <w:jc w:val="right"/>
              <w:ind w:right="440"/>
              <w:spacing w:after="0"/>
              <w:rPr>
                <w:sz w:val="20"/>
                <w:szCs w:val="20"/>
                <w:color w:val="auto"/>
              </w:rPr>
            </w:pPr>
            <w:r>
              <w:rPr>
                <w:rFonts w:ascii="Arial" w:cs="Arial" w:eastAsia="Arial" w:hAnsi="Arial"/>
                <w:sz w:val="12"/>
                <w:szCs w:val="12"/>
                <w:color w:val="auto"/>
                <w:w w:val="89"/>
              </w:rPr>
              <w:t>February 28, 2022</w:t>
            </w:r>
          </w:p>
        </w:tc>
        <w:tc>
          <w:tcPr>
            <w:tcW w:w="0" w:type="dxa"/>
            <w:vAlign w:val="bottom"/>
          </w:tcPr>
          <w:p>
            <w:pPr>
              <w:spacing w:after="0"/>
              <w:rPr>
                <w:sz w:val="1"/>
                <w:szCs w:val="1"/>
                <w:color w:val="auto"/>
              </w:rPr>
            </w:pPr>
          </w:p>
        </w:tc>
      </w:tr>
      <w:tr>
        <w:trPr>
          <w:trHeight w:val="133"/>
        </w:trPr>
        <w:tc>
          <w:tcPr>
            <w:tcW w:w="7140" w:type="dxa"/>
            <w:vAlign w:val="bottom"/>
          </w:tcPr>
          <w:p>
            <w:pPr>
              <w:spacing w:after="0" w:line="133" w:lineRule="exact"/>
              <w:rPr>
                <w:sz w:val="20"/>
                <w:szCs w:val="20"/>
                <w:color w:val="auto"/>
              </w:rPr>
            </w:pPr>
            <w:r>
              <w:rPr>
                <w:rFonts w:ascii="Arial" w:cs="Arial" w:eastAsia="Arial" w:hAnsi="Arial"/>
                <w:sz w:val="12"/>
                <w:szCs w:val="12"/>
                <w:b w:val="1"/>
                <w:bCs w:val="1"/>
                <w:color w:val="auto"/>
              </w:rPr>
              <w:t>Adjusted revenue:</w:t>
            </w:r>
          </w:p>
        </w:tc>
        <w:tc>
          <w:tcPr>
            <w:tcW w:w="2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GAAP revenue</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164,226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144,922</w:t>
            </w:r>
          </w:p>
        </w:tc>
        <w:tc>
          <w:tcPr>
            <w:tcW w:w="0" w:type="dxa"/>
            <w:vAlign w:val="bottom"/>
          </w:tcPr>
          <w:p>
            <w:pPr>
              <w:spacing w:after="0"/>
              <w:rPr>
                <w:sz w:val="1"/>
                <w:szCs w:val="1"/>
                <w:color w:val="auto"/>
              </w:rPr>
            </w:pPr>
          </w:p>
        </w:tc>
      </w:tr>
      <w:tr>
        <w:trPr>
          <w:trHeight w:val="153"/>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Acquisition-related revenue</w:t>
            </w:r>
          </w:p>
        </w:tc>
        <w:tc>
          <w:tcPr>
            <w:tcW w:w="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2,583</w:t>
            </w:r>
          </w:p>
        </w:tc>
        <w:tc>
          <w:tcPr>
            <w:tcW w:w="0" w:type="dxa"/>
            <w:vAlign w:val="bottom"/>
          </w:tcPr>
          <w:p>
            <w:pPr>
              <w:spacing w:after="0"/>
              <w:rPr>
                <w:sz w:val="1"/>
                <w:szCs w:val="1"/>
                <w:color w:val="auto"/>
              </w:rPr>
            </w:pPr>
          </w:p>
        </w:tc>
      </w:tr>
      <w:tr>
        <w:trPr>
          <w:trHeight w:val="162"/>
        </w:trPr>
        <w:tc>
          <w:tcPr>
            <w:tcW w:w="7140" w:type="dxa"/>
            <w:vAlign w:val="bottom"/>
            <w:tcBorders>
              <w:bottom w:val="single" w:sz="8" w:color="CCEEFF"/>
            </w:tcBorders>
            <w:shd w:val="clear" w:color="auto" w:fill="CCEEFF"/>
          </w:tcPr>
          <w:p>
            <w:pPr>
              <w:ind w:left="440"/>
              <w:spacing w:after="0" w:line="133" w:lineRule="exact"/>
              <w:rPr>
                <w:sz w:val="20"/>
                <w:szCs w:val="20"/>
                <w:color w:val="auto"/>
              </w:rPr>
            </w:pPr>
            <w:r>
              <w:rPr>
                <w:rFonts w:ascii="Arial" w:cs="Arial" w:eastAsia="Arial" w:hAnsi="Arial"/>
                <w:sz w:val="12"/>
                <w:szCs w:val="12"/>
                <w:color w:val="auto"/>
              </w:rPr>
              <w:t>Non-GAAP revenue</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165,611</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147,505</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2"/>
                <w:szCs w:val="12"/>
                <w:b w:val="1"/>
                <w:bCs w:val="1"/>
                <w:color w:val="auto"/>
              </w:rPr>
              <w:t>Adjusted income from operations:</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7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GAAP income from operations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35,588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29,432</w:t>
            </w:r>
          </w:p>
        </w:tc>
        <w:tc>
          <w:tcPr>
            <w:tcW w:w="0" w:type="dxa"/>
            <w:vAlign w:val="bottom"/>
          </w:tcPr>
          <w:p>
            <w:pPr>
              <w:spacing w:after="0"/>
              <w:rPr>
                <w:sz w:val="1"/>
                <w:szCs w:val="1"/>
                <w:color w:val="auto"/>
              </w:rPr>
            </w:pPr>
          </w:p>
        </w:tc>
      </w:tr>
      <w:tr>
        <w:trPr>
          <w:trHeight w:val="153"/>
        </w:trPr>
        <w:tc>
          <w:tcPr>
            <w:tcW w:w="7140" w:type="dxa"/>
            <w:vAlign w:val="bottom"/>
          </w:tcPr>
          <w:p>
            <w:pPr>
              <w:ind w:left="220"/>
              <w:spacing w:after="0"/>
              <w:rPr>
                <w:sz w:val="20"/>
                <w:szCs w:val="20"/>
                <w:color w:val="auto"/>
              </w:rPr>
            </w:pPr>
            <w:r>
              <w:rPr>
                <w:rFonts w:ascii="Arial" w:cs="Arial" w:eastAsia="Arial" w:hAnsi="Arial"/>
                <w:sz w:val="12"/>
                <w:szCs w:val="12"/>
                <w:color w:val="auto"/>
              </w:rPr>
              <w:t>Amortization of acquired intangibles</w:t>
            </w:r>
          </w:p>
        </w:tc>
        <w:tc>
          <w:tcPr>
            <w:tcW w:w="2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19,875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17,180</w:t>
            </w:r>
          </w:p>
        </w:tc>
        <w:tc>
          <w:tcPr>
            <w:tcW w:w="0" w:type="dxa"/>
            <w:vAlign w:val="bottom"/>
          </w:tcPr>
          <w:p>
            <w:pPr>
              <w:spacing w:after="0"/>
              <w:rPr>
                <w:sz w:val="1"/>
                <w:szCs w:val="1"/>
                <w:color w:val="auto"/>
              </w:rPr>
            </w:pPr>
          </w:p>
        </w:tc>
      </w:tr>
      <w:tr>
        <w:trPr>
          <w:trHeight w:val="153"/>
        </w:trPr>
        <w:tc>
          <w:tcPr>
            <w:tcW w:w="7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Restructuring expenses and other</w:t>
            </w:r>
          </w:p>
        </w:tc>
        <w:tc>
          <w:tcPr>
            <w:tcW w:w="2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1,397</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w:t>
            </w:r>
          </w:p>
        </w:tc>
        <w:tc>
          <w:tcPr>
            <w:tcW w:w="0" w:type="dxa"/>
            <w:vAlign w:val="bottom"/>
          </w:tcPr>
          <w:p>
            <w:pPr>
              <w:spacing w:after="0"/>
              <w:rPr>
                <w:sz w:val="1"/>
                <w:szCs w:val="1"/>
                <w:color w:val="auto"/>
              </w:rPr>
            </w:pPr>
          </w:p>
        </w:tc>
      </w:tr>
      <w:tr>
        <w:trPr>
          <w:trHeight w:val="153"/>
        </w:trPr>
        <w:tc>
          <w:tcPr>
            <w:tcW w:w="7140" w:type="dxa"/>
            <w:vAlign w:val="bottom"/>
          </w:tcPr>
          <w:p>
            <w:pPr>
              <w:ind w:left="220"/>
              <w:spacing w:after="0"/>
              <w:rPr>
                <w:sz w:val="20"/>
                <w:szCs w:val="20"/>
                <w:color w:val="auto"/>
              </w:rPr>
            </w:pPr>
            <w:r>
              <w:rPr>
                <w:rFonts w:ascii="Arial" w:cs="Arial" w:eastAsia="Arial" w:hAnsi="Arial"/>
                <w:sz w:val="12"/>
                <w:szCs w:val="12"/>
                <w:color w:val="auto"/>
              </w:rPr>
              <w:t>Stock-based compensation</w:t>
            </w:r>
          </w:p>
        </w:tc>
        <w:tc>
          <w:tcPr>
            <w:tcW w:w="2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9,752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8,114</w:t>
            </w:r>
          </w:p>
        </w:tc>
        <w:tc>
          <w:tcPr>
            <w:tcW w:w="0" w:type="dxa"/>
            <w:vAlign w:val="bottom"/>
          </w:tcPr>
          <w:p>
            <w:pPr>
              <w:spacing w:after="0"/>
              <w:rPr>
                <w:sz w:val="1"/>
                <w:szCs w:val="1"/>
                <w:color w:val="auto"/>
              </w:rPr>
            </w:pPr>
          </w:p>
        </w:tc>
      </w:tr>
      <w:tr>
        <w:trPr>
          <w:trHeight w:val="153"/>
        </w:trPr>
        <w:tc>
          <w:tcPr>
            <w:tcW w:w="7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Acquisition-related revenue and expenses</w:t>
            </w:r>
          </w:p>
        </w:tc>
        <w:tc>
          <w:tcPr>
            <w:tcW w:w="2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3,495</w:t>
            </w:r>
          </w:p>
        </w:tc>
        <w:tc>
          <w:tcPr>
            <w:tcW w:w="0" w:type="dxa"/>
            <w:vAlign w:val="bottom"/>
          </w:tcPr>
          <w:p>
            <w:pPr>
              <w:spacing w:after="0"/>
              <w:rPr>
                <w:sz w:val="1"/>
                <w:szCs w:val="1"/>
                <w:color w:val="auto"/>
              </w:rPr>
            </w:pPr>
          </w:p>
        </w:tc>
      </w:tr>
      <w:tr>
        <w:trPr>
          <w:trHeight w:val="153"/>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Cyber incident</w:t>
            </w:r>
          </w:p>
        </w:tc>
        <w:tc>
          <w:tcPr>
            <w:tcW w:w="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2,692</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7140" w:type="dxa"/>
            <w:vAlign w:val="bottom"/>
            <w:tcBorders>
              <w:bottom w:val="single" w:sz="8" w:color="CCEEFF"/>
            </w:tcBorders>
            <w:shd w:val="clear" w:color="auto" w:fill="CCEEFF"/>
          </w:tcPr>
          <w:p>
            <w:pPr>
              <w:ind w:left="440"/>
              <w:spacing w:after="0" w:line="133" w:lineRule="exact"/>
              <w:rPr>
                <w:sz w:val="20"/>
                <w:szCs w:val="20"/>
                <w:color w:val="auto"/>
              </w:rPr>
            </w:pPr>
            <w:r>
              <w:rPr>
                <w:rFonts w:ascii="Arial" w:cs="Arial" w:eastAsia="Arial" w:hAnsi="Arial"/>
                <w:sz w:val="12"/>
                <w:szCs w:val="12"/>
                <w:color w:val="auto"/>
              </w:rPr>
              <w:t>Non-GAAP income from operations</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72,432</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58,732</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2"/>
                <w:szCs w:val="12"/>
                <w:b w:val="1"/>
                <w:bCs w:val="1"/>
                <w:color w:val="auto"/>
              </w:rPr>
              <w:t>Adjusted net income:</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7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GAAP net income</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23,674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20,454</w:t>
            </w:r>
          </w:p>
        </w:tc>
        <w:tc>
          <w:tcPr>
            <w:tcW w:w="0" w:type="dxa"/>
            <w:vAlign w:val="bottom"/>
          </w:tcPr>
          <w:p>
            <w:pPr>
              <w:spacing w:after="0"/>
              <w:rPr>
                <w:sz w:val="1"/>
                <w:szCs w:val="1"/>
                <w:color w:val="auto"/>
              </w:rPr>
            </w:pPr>
          </w:p>
        </w:tc>
      </w:tr>
      <w:tr>
        <w:trPr>
          <w:trHeight w:val="153"/>
        </w:trPr>
        <w:tc>
          <w:tcPr>
            <w:tcW w:w="7140" w:type="dxa"/>
            <w:vAlign w:val="bottom"/>
          </w:tcPr>
          <w:p>
            <w:pPr>
              <w:ind w:left="220"/>
              <w:spacing w:after="0"/>
              <w:rPr>
                <w:sz w:val="20"/>
                <w:szCs w:val="20"/>
                <w:color w:val="auto"/>
              </w:rPr>
            </w:pPr>
            <w:r>
              <w:rPr>
                <w:rFonts w:ascii="Arial" w:cs="Arial" w:eastAsia="Arial" w:hAnsi="Arial"/>
                <w:sz w:val="12"/>
                <w:szCs w:val="12"/>
                <w:color w:val="auto"/>
              </w:rPr>
              <w:t>Amortization of acquired intangibles</w:t>
            </w:r>
          </w:p>
        </w:tc>
        <w:tc>
          <w:tcPr>
            <w:tcW w:w="2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19,875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17,180</w:t>
            </w:r>
          </w:p>
        </w:tc>
        <w:tc>
          <w:tcPr>
            <w:tcW w:w="0" w:type="dxa"/>
            <w:vAlign w:val="bottom"/>
          </w:tcPr>
          <w:p>
            <w:pPr>
              <w:spacing w:after="0"/>
              <w:rPr>
                <w:sz w:val="1"/>
                <w:szCs w:val="1"/>
                <w:color w:val="auto"/>
              </w:rPr>
            </w:pPr>
          </w:p>
        </w:tc>
      </w:tr>
      <w:tr>
        <w:trPr>
          <w:trHeight w:val="153"/>
        </w:trPr>
        <w:tc>
          <w:tcPr>
            <w:tcW w:w="7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Restructuring expenses and other</w:t>
            </w:r>
          </w:p>
        </w:tc>
        <w:tc>
          <w:tcPr>
            <w:tcW w:w="2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1,397</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w:t>
            </w:r>
          </w:p>
        </w:tc>
        <w:tc>
          <w:tcPr>
            <w:tcW w:w="0" w:type="dxa"/>
            <w:vAlign w:val="bottom"/>
          </w:tcPr>
          <w:p>
            <w:pPr>
              <w:spacing w:after="0"/>
              <w:rPr>
                <w:sz w:val="1"/>
                <w:szCs w:val="1"/>
                <w:color w:val="auto"/>
              </w:rPr>
            </w:pPr>
          </w:p>
        </w:tc>
      </w:tr>
      <w:tr>
        <w:trPr>
          <w:trHeight w:val="153"/>
        </w:trPr>
        <w:tc>
          <w:tcPr>
            <w:tcW w:w="7140" w:type="dxa"/>
            <w:vAlign w:val="bottom"/>
          </w:tcPr>
          <w:p>
            <w:pPr>
              <w:ind w:left="220"/>
              <w:spacing w:after="0"/>
              <w:rPr>
                <w:sz w:val="20"/>
                <w:szCs w:val="20"/>
                <w:color w:val="auto"/>
              </w:rPr>
            </w:pPr>
            <w:r>
              <w:rPr>
                <w:rFonts w:ascii="Arial" w:cs="Arial" w:eastAsia="Arial" w:hAnsi="Arial"/>
                <w:sz w:val="12"/>
                <w:szCs w:val="12"/>
                <w:color w:val="auto"/>
              </w:rPr>
              <w:t>Stock-based compensation</w:t>
            </w:r>
          </w:p>
        </w:tc>
        <w:tc>
          <w:tcPr>
            <w:tcW w:w="2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9,752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8,114</w:t>
            </w:r>
          </w:p>
        </w:tc>
        <w:tc>
          <w:tcPr>
            <w:tcW w:w="0" w:type="dxa"/>
            <w:vAlign w:val="bottom"/>
          </w:tcPr>
          <w:p>
            <w:pPr>
              <w:spacing w:after="0"/>
              <w:rPr>
                <w:sz w:val="1"/>
                <w:szCs w:val="1"/>
                <w:color w:val="auto"/>
              </w:rPr>
            </w:pPr>
          </w:p>
        </w:tc>
      </w:tr>
      <w:tr>
        <w:trPr>
          <w:trHeight w:val="153"/>
        </w:trPr>
        <w:tc>
          <w:tcPr>
            <w:tcW w:w="7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Acquisition-related revenue and expenses</w:t>
            </w:r>
          </w:p>
        </w:tc>
        <w:tc>
          <w:tcPr>
            <w:tcW w:w="2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3,495</w:t>
            </w:r>
          </w:p>
        </w:tc>
        <w:tc>
          <w:tcPr>
            <w:tcW w:w="0" w:type="dxa"/>
            <w:vAlign w:val="bottom"/>
          </w:tcPr>
          <w:p>
            <w:pPr>
              <w:spacing w:after="0"/>
              <w:rPr>
                <w:sz w:val="1"/>
                <w:szCs w:val="1"/>
                <w:color w:val="auto"/>
              </w:rPr>
            </w:pPr>
          </w:p>
        </w:tc>
      </w:tr>
      <w:tr>
        <w:trPr>
          <w:trHeight w:val="153"/>
        </w:trPr>
        <w:tc>
          <w:tcPr>
            <w:tcW w:w="7140" w:type="dxa"/>
            <w:vAlign w:val="bottom"/>
          </w:tcPr>
          <w:p>
            <w:pPr>
              <w:ind w:left="220"/>
              <w:spacing w:after="0"/>
              <w:rPr>
                <w:sz w:val="20"/>
                <w:szCs w:val="20"/>
                <w:color w:val="auto"/>
              </w:rPr>
            </w:pPr>
            <w:r>
              <w:rPr>
                <w:rFonts w:ascii="Arial" w:cs="Arial" w:eastAsia="Arial" w:hAnsi="Arial"/>
                <w:sz w:val="12"/>
                <w:szCs w:val="12"/>
                <w:color w:val="auto"/>
              </w:rPr>
              <w:t>Cyber incident</w:t>
            </w:r>
          </w:p>
        </w:tc>
        <w:tc>
          <w:tcPr>
            <w:tcW w:w="2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2,692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Provision for income taxes</w:t>
            </w:r>
          </w:p>
        </w:tc>
        <w:tc>
          <w:tcPr>
            <w:tcW w:w="28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(7,759)</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(6,194)</w:t>
            </w:r>
          </w:p>
        </w:tc>
        <w:tc>
          <w:tcPr>
            <w:tcW w:w="0" w:type="dxa"/>
            <w:vAlign w:val="bottom"/>
          </w:tcPr>
          <w:p>
            <w:pPr>
              <w:spacing w:after="0"/>
              <w:rPr>
                <w:sz w:val="1"/>
                <w:szCs w:val="1"/>
                <w:color w:val="auto"/>
              </w:rPr>
            </w:pPr>
          </w:p>
        </w:tc>
      </w:tr>
      <w:tr>
        <w:trPr>
          <w:trHeight w:val="142"/>
        </w:trPr>
        <w:tc>
          <w:tcPr>
            <w:tcW w:w="7140" w:type="dxa"/>
            <w:vAlign w:val="bottom"/>
          </w:tcPr>
          <w:p>
            <w:pPr>
              <w:ind w:left="440"/>
              <w:spacing w:after="0" w:line="133" w:lineRule="exact"/>
              <w:rPr>
                <w:sz w:val="20"/>
                <w:szCs w:val="20"/>
                <w:color w:val="auto"/>
              </w:rPr>
            </w:pPr>
            <w:r>
              <w:rPr>
                <w:rFonts w:ascii="Arial" w:cs="Arial" w:eastAsia="Arial" w:hAnsi="Arial"/>
                <w:sz w:val="12"/>
                <w:szCs w:val="12"/>
                <w:color w:val="auto"/>
              </w:rPr>
              <w:t>Non-GAAP net income</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52,759</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43,560</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2"/>
                <w:szCs w:val="12"/>
                <w:b w:val="1"/>
                <w:bCs w:val="1"/>
                <w:color w:val="auto"/>
              </w:rPr>
              <w:t>Adjusted diluted earnings per share:</w:t>
            </w: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7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GAAP diluted earnings per share</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153"/>
        </w:trPr>
        <w:tc>
          <w:tcPr>
            <w:tcW w:w="7140" w:type="dxa"/>
            <w:vAlign w:val="bottom"/>
          </w:tcPr>
          <w:p>
            <w:pPr>
              <w:ind w:left="220"/>
              <w:spacing w:after="0"/>
              <w:rPr>
                <w:sz w:val="20"/>
                <w:szCs w:val="20"/>
                <w:color w:val="auto"/>
              </w:rPr>
            </w:pPr>
            <w:r>
              <w:rPr>
                <w:rFonts w:ascii="Arial" w:cs="Arial" w:eastAsia="Arial" w:hAnsi="Arial"/>
                <w:sz w:val="12"/>
                <w:szCs w:val="12"/>
                <w:color w:val="auto"/>
              </w:rPr>
              <w:t>Amortization of acquired intangibles</w:t>
            </w:r>
          </w:p>
        </w:tc>
        <w:tc>
          <w:tcPr>
            <w:tcW w:w="2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0.45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0.38</w:t>
            </w:r>
          </w:p>
        </w:tc>
        <w:tc>
          <w:tcPr>
            <w:tcW w:w="0" w:type="dxa"/>
            <w:vAlign w:val="bottom"/>
          </w:tcPr>
          <w:p>
            <w:pPr>
              <w:spacing w:after="0"/>
              <w:rPr>
                <w:sz w:val="1"/>
                <w:szCs w:val="1"/>
                <w:color w:val="auto"/>
              </w:rPr>
            </w:pPr>
          </w:p>
        </w:tc>
      </w:tr>
      <w:tr>
        <w:trPr>
          <w:trHeight w:val="153"/>
        </w:trPr>
        <w:tc>
          <w:tcPr>
            <w:tcW w:w="7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Stock-based compensation</w:t>
            </w:r>
          </w:p>
        </w:tc>
        <w:tc>
          <w:tcPr>
            <w:tcW w:w="2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r>
        <w:trPr>
          <w:trHeight w:val="153"/>
        </w:trPr>
        <w:tc>
          <w:tcPr>
            <w:tcW w:w="7140" w:type="dxa"/>
            <w:vAlign w:val="bottom"/>
          </w:tcPr>
          <w:p>
            <w:pPr>
              <w:ind w:left="220"/>
              <w:spacing w:after="0"/>
              <w:rPr>
                <w:sz w:val="20"/>
                <w:szCs w:val="20"/>
                <w:color w:val="auto"/>
              </w:rPr>
            </w:pPr>
            <w:r>
              <w:rPr>
                <w:rFonts w:ascii="Arial" w:cs="Arial" w:eastAsia="Arial" w:hAnsi="Arial"/>
                <w:sz w:val="12"/>
                <w:szCs w:val="12"/>
                <w:color w:val="auto"/>
              </w:rPr>
              <w:t>Restructuring expenses and other</w:t>
            </w:r>
          </w:p>
        </w:tc>
        <w:tc>
          <w:tcPr>
            <w:tcW w:w="2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53"/>
        </w:trPr>
        <w:tc>
          <w:tcPr>
            <w:tcW w:w="7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Acquisition-related revenue and expenses</w:t>
            </w:r>
          </w:p>
        </w:tc>
        <w:tc>
          <w:tcPr>
            <w:tcW w:w="2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0.07</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153"/>
        </w:trPr>
        <w:tc>
          <w:tcPr>
            <w:tcW w:w="7140" w:type="dxa"/>
            <w:vAlign w:val="bottom"/>
          </w:tcPr>
          <w:p>
            <w:pPr>
              <w:ind w:left="220"/>
              <w:spacing w:after="0"/>
              <w:rPr>
                <w:sz w:val="20"/>
                <w:szCs w:val="20"/>
                <w:color w:val="auto"/>
              </w:rPr>
            </w:pPr>
            <w:r>
              <w:rPr>
                <w:rFonts w:ascii="Arial" w:cs="Arial" w:eastAsia="Arial" w:hAnsi="Arial"/>
                <w:sz w:val="12"/>
                <w:szCs w:val="12"/>
                <w:color w:val="auto"/>
              </w:rPr>
              <w:t>Cyber incident</w:t>
            </w:r>
          </w:p>
        </w:tc>
        <w:tc>
          <w:tcPr>
            <w:tcW w:w="2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0.06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Provision for income taxes</w:t>
            </w:r>
          </w:p>
        </w:tc>
        <w:tc>
          <w:tcPr>
            <w:tcW w:w="28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(0.17)</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42"/>
        </w:trPr>
        <w:tc>
          <w:tcPr>
            <w:tcW w:w="7140" w:type="dxa"/>
            <w:vAlign w:val="bottom"/>
          </w:tcPr>
          <w:p>
            <w:pPr>
              <w:ind w:left="440"/>
              <w:spacing w:after="0" w:line="133" w:lineRule="exact"/>
              <w:rPr>
                <w:sz w:val="20"/>
                <w:szCs w:val="20"/>
                <w:color w:val="auto"/>
              </w:rPr>
            </w:pPr>
            <w:r>
              <w:rPr>
                <w:rFonts w:ascii="Arial" w:cs="Arial" w:eastAsia="Arial" w:hAnsi="Arial"/>
                <w:sz w:val="12"/>
                <w:szCs w:val="12"/>
                <w:color w:val="auto"/>
              </w:rPr>
              <w:t>Non-GAAP diluted earnings per share</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0.97</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2"/>
                <w:szCs w:val="12"/>
                <w:b w:val="1"/>
                <w:bCs w:val="1"/>
                <w:color w:val="auto"/>
              </w:rPr>
              <w:t>Non-GAAP weighted avg shares outstanding - diluted</w:t>
            </w: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44,353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44,708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140"/>
          </w:cols>
          <w:pgMar w:left="300" w:top="976" w:right="45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OTHER NON-GAAP FINANCIAL MEASURES</w:t>
      </w:r>
      <w:r>
        <w:rPr>
          <w:rFonts w:ascii="Arial" w:cs="Arial" w:eastAsia="Arial" w:hAnsi="Arial"/>
          <w:sz w:val="15"/>
          <w:szCs w:val="15"/>
          <w:b w:val="1"/>
          <w:bCs w:val="1"/>
          <w:color w:val="auto"/>
          <w:vertAlign w:val="superscript"/>
        </w:rPr>
        <w:t>1</w:t>
      </w:r>
    </w:p>
    <w:p>
      <w:pPr>
        <w:spacing w:after="0"/>
        <w:rPr>
          <w:sz w:val="20"/>
          <w:szCs w:val="20"/>
          <w:color w:val="auto"/>
        </w:rPr>
      </w:pPr>
      <w:r>
        <w:rPr>
          <w:rFonts w:ascii="Arial" w:cs="Arial" w:eastAsia="Arial" w:hAnsi="Arial"/>
          <w:sz w:val="12"/>
          <w:szCs w:val="12"/>
          <w:color w:val="auto"/>
        </w:rPr>
        <w:t>(Unaudited)</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Adjusted Free Cash Flow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100" w:type="dxa"/>
            <w:vAlign w:val="bottom"/>
          </w:tcPr>
          <w:p>
            <w:pPr>
              <w:spacing w:after="0"/>
              <w:rPr>
                <w:sz w:val="20"/>
                <w:szCs w:val="20"/>
                <w:color w:val="auto"/>
              </w:rPr>
            </w:pPr>
            <w:r>
              <w:rPr>
                <w:rFonts w:ascii="Arial" w:cs="Arial" w:eastAsia="Arial" w:hAnsi="Arial"/>
                <w:sz w:val="10"/>
                <w:szCs w:val="10"/>
                <w:i w:val="1"/>
                <w:iCs w:val="1"/>
                <w:color w:val="auto"/>
              </w:rPr>
              <w:t>(In thousands)</w:t>
            </w:r>
          </w:p>
        </w:tc>
        <w:tc>
          <w:tcPr>
            <w:tcW w:w="280" w:type="dxa"/>
            <w:vAlign w:val="bottom"/>
          </w:tcPr>
          <w:p>
            <w:pPr>
              <w:spacing w:after="0"/>
              <w:rPr>
                <w:sz w:val="13"/>
                <w:szCs w:val="13"/>
                <w:color w:val="auto"/>
              </w:rPr>
            </w:pPr>
          </w:p>
        </w:tc>
        <w:tc>
          <w:tcPr>
            <w:tcW w:w="1260" w:type="dxa"/>
            <w:vAlign w:val="bottom"/>
            <w:gridSpan w:val="2"/>
          </w:tcPr>
          <w:p>
            <w:pPr>
              <w:ind w:left="240"/>
              <w:spacing w:after="0"/>
              <w:rPr>
                <w:sz w:val="20"/>
                <w:szCs w:val="20"/>
                <w:color w:val="auto"/>
              </w:rPr>
            </w:pPr>
            <w:r>
              <w:rPr>
                <w:rFonts w:ascii="Arial" w:cs="Arial" w:eastAsia="Arial" w:hAnsi="Arial"/>
                <w:sz w:val="12"/>
                <w:szCs w:val="12"/>
                <w:color w:val="auto"/>
              </w:rPr>
              <w:t>Q1 2023</w:t>
            </w:r>
          </w:p>
        </w:tc>
        <w:tc>
          <w:tcPr>
            <w:tcW w:w="300" w:type="dxa"/>
            <w:vAlign w:val="bottom"/>
          </w:tcPr>
          <w:p>
            <w:pPr>
              <w:spacing w:after="0"/>
              <w:rPr>
                <w:sz w:val="13"/>
                <w:szCs w:val="13"/>
                <w:color w:val="auto"/>
              </w:rPr>
            </w:pPr>
          </w:p>
        </w:tc>
        <w:tc>
          <w:tcPr>
            <w:tcW w:w="1240" w:type="dxa"/>
            <w:vAlign w:val="bottom"/>
            <w:gridSpan w:val="2"/>
          </w:tcPr>
          <w:p>
            <w:pPr>
              <w:ind w:left="220"/>
              <w:spacing w:after="0"/>
              <w:rPr>
                <w:sz w:val="20"/>
                <w:szCs w:val="20"/>
                <w:color w:val="auto"/>
              </w:rPr>
            </w:pPr>
            <w:r>
              <w:rPr>
                <w:rFonts w:ascii="Arial" w:cs="Arial" w:eastAsia="Arial" w:hAnsi="Arial"/>
                <w:sz w:val="12"/>
                <w:szCs w:val="12"/>
                <w:color w:val="auto"/>
              </w:rPr>
              <w:t>Q1 2022</w:t>
            </w:r>
          </w:p>
        </w:tc>
        <w:tc>
          <w:tcPr>
            <w:tcW w:w="1120" w:type="dxa"/>
            <w:vAlign w:val="bottom"/>
          </w:tcPr>
          <w:p>
            <w:pPr>
              <w:jc w:val="right"/>
              <w:ind w:right="240"/>
              <w:spacing w:after="0"/>
              <w:rPr>
                <w:sz w:val="20"/>
                <w:szCs w:val="20"/>
                <w:color w:val="auto"/>
              </w:rPr>
            </w:pPr>
            <w:r>
              <w:rPr>
                <w:rFonts w:ascii="Arial" w:cs="Arial" w:eastAsia="Arial" w:hAnsi="Arial"/>
                <w:sz w:val="12"/>
                <w:szCs w:val="12"/>
                <w:i w:val="1"/>
                <w:iCs w:val="1"/>
                <w:color w:val="auto"/>
              </w:rPr>
              <w:t>% Change</w:t>
            </w:r>
          </w:p>
        </w:tc>
      </w:tr>
      <w:tr>
        <w:trPr>
          <w:trHeight w:val="142"/>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flows from operations</w:t>
            </w: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46,767</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44,093</w:t>
            </w:r>
          </w:p>
        </w:tc>
        <w:tc>
          <w:tcPr>
            <w:tcW w:w="8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i w:val="1"/>
                <w:iCs w:val="1"/>
                <w:color w:val="auto"/>
              </w:rPr>
              <w:t>6 %</w:t>
            </w:r>
          </w:p>
        </w:tc>
      </w:tr>
      <w:tr>
        <w:trPr>
          <w:trHeight w:val="153"/>
        </w:trPr>
        <w:tc>
          <w:tcPr>
            <w:tcW w:w="7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Purchases of property and equipment</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(831)</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(54)%</w:t>
            </w:r>
          </w:p>
        </w:tc>
      </w:tr>
      <w:tr>
        <w:trPr>
          <w:trHeight w:val="142"/>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Free cash flow</w:t>
            </w:r>
          </w:p>
        </w:tc>
        <w:tc>
          <w:tcPr>
            <w:tcW w:w="2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46,382</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43,262</w:t>
            </w:r>
          </w:p>
        </w:tc>
        <w:tc>
          <w:tcPr>
            <w:tcW w:w="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i w:val="1"/>
                <w:iCs w:val="1"/>
                <w:color w:val="auto"/>
              </w:rPr>
              <w:t>7 %</w:t>
            </w:r>
          </w:p>
        </w:tc>
      </w:tr>
      <w:tr>
        <w:trPr>
          <w:trHeight w:val="142"/>
        </w:trPr>
        <w:tc>
          <w:tcPr>
            <w:tcW w:w="7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Add back: restructuring payments</w:t>
            </w: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489</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1,419</w:t>
            </w: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(66)%</w:t>
            </w:r>
          </w:p>
        </w:tc>
      </w:tr>
      <w:tr>
        <w:trPr>
          <w:trHeight w:val="158"/>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Adjusted free cash flow</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46,871</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44,681</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i w:val="1"/>
                <w:iCs w:val="1"/>
                <w:color w:val="auto"/>
              </w:rPr>
              <w:t>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255" w:right="299" w:bottom="1440" w:gutter="0" w:footer="0" w:header="0"/>
        </w:sectPr>
      </w:pPr>
    </w:p>
    <w:bookmarkStart w:id="13" w:name="page14"/>
    <w:bookmarkEnd w:id="13"/>
    <w:p>
      <w:pPr>
        <w:ind w:right="5200"/>
        <w:spacing w:after="0" w:line="233" w:lineRule="auto"/>
        <w:rPr>
          <w:sz w:val="20"/>
          <w:szCs w:val="20"/>
          <w:color w:val="auto"/>
        </w:rPr>
      </w:pPr>
      <w:r>
        <w:rPr>
          <w:rFonts w:ascii="Arial" w:cs="Arial" w:eastAsia="Arial" w:hAnsi="Arial"/>
          <w:sz w:val="12"/>
          <w:szCs w:val="12"/>
          <w:b w:val="1"/>
          <w:bCs w:val="1"/>
          <w:color w:val="auto"/>
        </w:rPr>
        <w:t>RECONCILIATIONS OF GAAP TO NON-GAAP FINANCIAL MEASURES FOR FISCAL YEAR 2023 GUIDANCE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12"/>
          <w:szCs w:val="12"/>
          <w:color w:val="auto"/>
        </w:rPr>
        <w:t>(Unaudited)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80" w:type="dxa"/>
            <w:vAlign w:val="bottom"/>
          </w:tcPr>
          <w:p>
            <w:pPr>
              <w:spacing w:after="0"/>
              <w:rPr>
                <w:sz w:val="20"/>
                <w:szCs w:val="20"/>
                <w:color w:val="auto"/>
              </w:rPr>
            </w:pPr>
            <w:r>
              <w:rPr>
                <w:rFonts w:ascii="Arial" w:cs="Arial" w:eastAsia="Arial" w:hAnsi="Arial"/>
                <w:sz w:val="12"/>
                <w:szCs w:val="12"/>
                <w:b w:val="1"/>
                <w:bCs w:val="1"/>
                <w:color w:val="auto"/>
              </w:rPr>
              <w:t>Fiscal Year 2023 Updated Revenue Guidance</w:t>
            </w: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4080" w:type="dxa"/>
            <w:vAlign w:val="bottom"/>
          </w:tcPr>
          <w:p>
            <w:pPr>
              <w:spacing w:after="0"/>
              <w:rPr>
                <w:sz w:val="13"/>
                <w:szCs w:val="13"/>
                <w:color w:val="auto"/>
              </w:rPr>
            </w:pPr>
          </w:p>
        </w:tc>
        <w:tc>
          <w:tcPr>
            <w:tcW w:w="16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Fiscal Year Ended</w:t>
            </w: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7"/>
          </w:tcPr>
          <w:p>
            <w:pPr>
              <w:jc w:val="center"/>
              <w:ind w:left="241"/>
              <w:spacing w:after="0"/>
              <w:rPr>
                <w:sz w:val="20"/>
                <w:szCs w:val="20"/>
                <w:color w:val="auto"/>
              </w:rPr>
            </w:pPr>
            <w:r>
              <w:rPr>
                <w:rFonts w:ascii="Arial" w:cs="Arial" w:eastAsia="Arial" w:hAnsi="Arial"/>
                <w:sz w:val="12"/>
                <w:szCs w:val="12"/>
                <w:color w:val="auto"/>
                <w:w w:val="91"/>
              </w:rPr>
              <w:t>Fiscal Year Ending</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2"/>
        </w:trPr>
        <w:tc>
          <w:tcPr>
            <w:tcW w:w="4080" w:type="dxa"/>
            <w:vAlign w:val="bottom"/>
          </w:tcPr>
          <w:p>
            <w:pPr>
              <w:spacing w:after="0"/>
              <w:rPr>
                <w:sz w:val="12"/>
                <w:szCs w:val="12"/>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November 30, 2022</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7"/>
          </w:tcPr>
          <w:p>
            <w:pPr>
              <w:jc w:val="center"/>
              <w:ind w:left="241"/>
              <w:spacing w:after="0"/>
              <w:rPr>
                <w:sz w:val="20"/>
                <w:szCs w:val="20"/>
                <w:color w:val="auto"/>
              </w:rPr>
            </w:pPr>
            <w:r>
              <w:rPr>
                <w:rFonts w:ascii="Arial" w:cs="Arial" w:eastAsia="Arial" w:hAnsi="Arial"/>
                <w:sz w:val="12"/>
                <w:szCs w:val="12"/>
                <w:color w:val="auto"/>
                <w:w w:val="91"/>
              </w:rPr>
              <w:t>November 30, 2023</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42"/>
        </w:trPr>
        <w:tc>
          <w:tcPr>
            <w:tcW w:w="4080" w:type="dxa"/>
            <w:vAlign w:val="bottom"/>
          </w:tcPr>
          <w:p>
            <w:pPr>
              <w:spacing w:after="0"/>
              <w:rPr>
                <w:sz w:val="20"/>
                <w:szCs w:val="20"/>
                <w:color w:val="auto"/>
              </w:rPr>
            </w:pPr>
            <w:r>
              <w:rPr>
                <w:rFonts w:ascii="Arial" w:cs="Arial" w:eastAsia="Arial" w:hAnsi="Arial"/>
                <w:sz w:val="10"/>
                <w:szCs w:val="10"/>
                <w:i w:val="1"/>
                <w:iCs w:val="1"/>
                <w:color w:val="auto"/>
              </w:rPr>
              <w:t>(In millions)</w:t>
            </w:r>
          </w:p>
        </w:tc>
        <w:tc>
          <w:tcPr>
            <w:tcW w:w="1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ind w:left="200"/>
              <w:spacing w:after="0"/>
              <w:rPr>
                <w:sz w:val="20"/>
                <w:szCs w:val="20"/>
                <w:color w:val="auto"/>
              </w:rPr>
            </w:pPr>
            <w:r>
              <w:rPr>
                <w:rFonts w:ascii="Arial" w:cs="Arial" w:eastAsia="Arial" w:hAnsi="Arial"/>
                <w:sz w:val="12"/>
                <w:szCs w:val="12"/>
                <w:color w:val="auto"/>
              </w:rPr>
              <w:t>Low</w:t>
            </w:r>
          </w:p>
        </w:tc>
        <w:tc>
          <w:tcPr>
            <w:tcW w:w="1080" w:type="dxa"/>
            <w:vAlign w:val="bottom"/>
            <w:gridSpan w:val="4"/>
          </w:tcPr>
          <w:p>
            <w:pPr>
              <w:ind w:left="160"/>
              <w:spacing w:after="0"/>
              <w:rPr>
                <w:sz w:val="20"/>
                <w:szCs w:val="20"/>
                <w:color w:val="auto"/>
              </w:rPr>
            </w:pPr>
            <w:r>
              <w:rPr>
                <w:rFonts w:ascii="Arial" w:cs="Arial" w:eastAsia="Arial" w:hAnsi="Arial"/>
                <w:sz w:val="12"/>
                <w:szCs w:val="12"/>
                <w:color w:val="auto"/>
              </w:rPr>
              <w:t>% Change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High</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321"/>
              <w:spacing w:after="0"/>
              <w:rPr>
                <w:sz w:val="20"/>
                <w:szCs w:val="20"/>
                <w:color w:val="auto"/>
              </w:rPr>
            </w:pPr>
            <w:r>
              <w:rPr>
                <w:rFonts w:ascii="Arial" w:cs="Arial" w:eastAsia="Arial" w:hAnsi="Arial"/>
                <w:sz w:val="12"/>
                <w:szCs w:val="12"/>
                <w:color w:val="auto"/>
              </w:rPr>
              <w:t>% Change</w:t>
            </w: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GAAP revenue</w:t>
            </w:r>
          </w:p>
        </w:tc>
        <w:tc>
          <w:tcPr>
            <w:tcW w:w="1620" w:type="dxa"/>
            <w:vAlign w:val="bottom"/>
            <w:shd w:val="clear" w:color="auto" w:fill="CCEEFF"/>
          </w:tcPr>
          <w:p>
            <w:pPr>
              <w:jc w:val="right"/>
              <w:ind w:right="14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602.0</w:t>
            </w: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676.3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12 %</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14 %</w:t>
            </w: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Acquisition-related adjustments - revenue</w:t>
            </w:r>
          </w:p>
        </w:tc>
        <w:tc>
          <w:tcPr>
            <w:tcW w:w="1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(57)%</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w:t>
            </w:r>
          </w:p>
        </w:tc>
      </w:tr>
      <w:tr>
        <w:trPr>
          <w:trHeight w:val="162"/>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Non-GAAP revenue</w:t>
            </w:r>
          </w:p>
        </w:tc>
        <w:tc>
          <w:tcPr>
            <w:tcW w:w="1620" w:type="dxa"/>
            <w:vAlign w:val="bottom"/>
            <w:shd w:val="clear" w:color="auto" w:fill="CCEEFF"/>
          </w:tcPr>
          <w:p>
            <w:pPr>
              <w:jc w:val="right"/>
              <w:ind w:right="14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610.6</w:t>
            </w: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11 %</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13 %</w:t>
            </w:r>
          </w:p>
        </w:tc>
      </w:tr>
      <w:tr>
        <w:trPr>
          <w:trHeight w:val="392"/>
        </w:trPr>
        <w:tc>
          <w:tcPr>
            <w:tcW w:w="408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Fiscal Year 2023 Updated Non-GAAP Operating Margin Guidance</w:t>
            </w:r>
          </w:p>
        </w:tc>
        <w:tc>
          <w:tcPr>
            <w:tcW w:w="16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153"/>
        </w:trPr>
        <w:tc>
          <w:tcPr>
            <w:tcW w:w="40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10"/>
          </w:tcPr>
          <w:p>
            <w:pPr>
              <w:ind w:left="100"/>
              <w:spacing w:after="0"/>
              <w:rPr>
                <w:sz w:val="20"/>
                <w:szCs w:val="20"/>
                <w:color w:val="auto"/>
              </w:rPr>
            </w:pPr>
            <w:r>
              <w:rPr>
                <w:rFonts w:ascii="Arial" w:cs="Arial" w:eastAsia="Arial" w:hAnsi="Arial"/>
                <w:sz w:val="12"/>
                <w:szCs w:val="12"/>
                <w:color w:val="auto"/>
              </w:rPr>
              <w:t>Fiscal Year Ending November 30, 2023</w:t>
            </w:r>
          </w:p>
        </w:tc>
        <w:tc>
          <w:tcPr>
            <w:tcW w:w="1000" w:type="dxa"/>
            <w:vAlign w:val="bottom"/>
            <w:tcBorders>
              <w:bottom w:val="single" w:sz="8" w:color="auto"/>
            </w:tcBorders>
          </w:tcPr>
          <w:p>
            <w:pPr>
              <w:spacing w:after="0"/>
              <w:rPr>
                <w:sz w:val="13"/>
                <w:szCs w:val="13"/>
                <w:color w:val="auto"/>
              </w:rPr>
            </w:pPr>
          </w:p>
        </w:tc>
      </w:tr>
      <w:tr>
        <w:trPr>
          <w:trHeight w:val="142"/>
        </w:trPr>
        <w:tc>
          <w:tcPr>
            <w:tcW w:w="408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(In millions)</w:t>
            </w:r>
          </w:p>
        </w:tc>
        <w:tc>
          <w:tcPr>
            <w:tcW w:w="16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800"/>
              <w:spacing w:after="0"/>
              <w:rPr>
                <w:sz w:val="20"/>
                <w:szCs w:val="20"/>
                <w:color w:val="auto"/>
              </w:rPr>
            </w:pPr>
            <w:r>
              <w:rPr>
                <w:rFonts w:ascii="Arial" w:cs="Arial" w:eastAsia="Arial" w:hAnsi="Arial"/>
                <w:sz w:val="12"/>
                <w:szCs w:val="12"/>
                <w:color w:val="auto"/>
              </w:rPr>
              <w:t>Low</w:t>
            </w:r>
          </w:p>
        </w:tc>
        <w:tc>
          <w:tcPr>
            <w:tcW w:w="10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ind w:left="340"/>
              <w:spacing w:after="0"/>
              <w:rPr>
                <w:sz w:val="20"/>
                <w:szCs w:val="20"/>
                <w:color w:val="auto"/>
              </w:rPr>
            </w:pPr>
            <w:r>
              <w:rPr>
                <w:rFonts w:ascii="Arial" w:cs="Arial" w:eastAsia="Arial" w:hAnsi="Arial"/>
                <w:sz w:val="12"/>
                <w:szCs w:val="12"/>
                <w:color w:val="auto"/>
              </w:rPr>
              <w:t>High</w:t>
            </w:r>
          </w:p>
        </w:tc>
        <w:tc>
          <w:tcPr>
            <w:tcW w:w="1000" w:type="dxa"/>
            <w:vAlign w:val="bottom"/>
            <w:tcBorders>
              <w:bottom w:val="single" w:sz="8" w:color="auto"/>
            </w:tcBorders>
          </w:tcPr>
          <w:p>
            <w:pPr>
              <w:spacing w:after="0"/>
              <w:rPr>
                <w:sz w:val="12"/>
                <w:szCs w:val="12"/>
                <w:color w:val="auto"/>
              </w:rPr>
            </w:pPr>
          </w:p>
        </w:tc>
      </w:tr>
      <w:tr>
        <w:trPr>
          <w:trHeight w:val="142"/>
        </w:trPr>
        <w:tc>
          <w:tcPr>
            <w:tcW w:w="40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GAAP income from operations</w:t>
            </w:r>
          </w:p>
        </w:tc>
        <w:tc>
          <w:tcPr>
            <w:tcW w:w="1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104.7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109.2</w:t>
            </w:r>
          </w:p>
        </w:tc>
      </w:tr>
      <w:tr>
        <w:trPr>
          <w:trHeight w:val="128"/>
        </w:trPr>
        <w:tc>
          <w:tcPr>
            <w:tcW w:w="4080" w:type="dxa"/>
            <w:vAlign w:val="bottom"/>
          </w:tcPr>
          <w:p>
            <w:pPr>
              <w:spacing w:after="0"/>
              <w:rPr>
                <w:sz w:val="20"/>
                <w:szCs w:val="20"/>
                <w:color w:val="auto"/>
              </w:rPr>
            </w:pPr>
            <w:r>
              <w:rPr>
                <w:rFonts w:ascii="Arial" w:cs="Arial" w:eastAsia="Arial" w:hAnsi="Arial"/>
                <w:sz w:val="10"/>
                <w:szCs w:val="10"/>
                <w:i w:val="1"/>
                <w:iCs w:val="1"/>
                <w:color w:val="auto"/>
              </w:rPr>
              <w:t>GAAP operating margins</w:t>
            </w:r>
          </w:p>
        </w:tc>
        <w:tc>
          <w:tcPr>
            <w:tcW w:w="1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i w:val="1"/>
                <w:iCs w:val="1"/>
                <w:color w:val="auto"/>
              </w:rPr>
              <w:t>15 %</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i w:val="1"/>
                <w:iCs w:val="1"/>
                <w:color w:val="auto"/>
              </w:rPr>
              <w:t>16 %</w:t>
            </w:r>
          </w:p>
        </w:tc>
      </w:tr>
      <w:tr>
        <w:trPr>
          <w:trHeight w:val="160"/>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Acquisition-related revenue</w:t>
            </w:r>
          </w:p>
        </w:tc>
        <w:tc>
          <w:tcPr>
            <w:tcW w:w="1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3.7</w:t>
            </w:r>
          </w:p>
        </w:tc>
      </w:tr>
      <w:tr>
        <w:trPr>
          <w:trHeight w:val="153"/>
        </w:trPr>
        <w:tc>
          <w:tcPr>
            <w:tcW w:w="4080" w:type="dxa"/>
            <w:vAlign w:val="bottom"/>
          </w:tcPr>
          <w:p>
            <w:pPr>
              <w:ind w:left="140"/>
              <w:spacing w:after="0"/>
              <w:rPr>
                <w:sz w:val="20"/>
                <w:szCs w:val="20"/>
                <w:color w:val="auto"/>
              </w:rPr>
            </w:pPr>
            <w:r>
              <w:rPr>
                <w:rFonts w:ascii="Arial" w:cs="Arial" w:eastAsia="Arial" w:hAnsi="Arial"/>
                <w:sz w:val="12"/>
                <w:szCs w:val="12"/>
                <w:color w:val="auto"/>
              </w:rPr>
              <w:t>Acquisition-related expense</w:t>
            </w: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4.5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4.5</w:t>
            </w:r>
          </w:p>
        </w:tc>
      </w:tr>
      <w:tr>
        <w:trPr>
          <w:trHeight w:val="153"/>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Restructuring expense</w:t>
            </w:r>
          </w:p>
        </w:tc>
        <w:tc>
          <w:tcPr>
            <w:tcW w:w="1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5.0</w:t>
            </w:r>
          </w:p>
        </w:tc>
      </w:tr>
      <w:tr>
        <w:trPr>
          <w:trHeight w:val="153"/>
        </w:trPr>
        <w:tc>
          <w:tcPr>
            <w:tcW w:w="408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41.4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41.4</w:t>
            </w:r>
          </w:p>
        </w:tc>
      </w:tr>
      <w:tr>
        <w:trPr>
          <w:trHeight w:val="153"/>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acquired intangibles</w:t>
            </w:r>
          </w:p>
        </w:tc>
        <w:tc>
          <w:tcPr>
            <w:tcW w:w="1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98.0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98.0</w:t>
            </w:r>
          </w:p>
        </w:tc>
      </w:tr>
      <w:tr>
        <w:trPr>
          <w:trHeight w:val="153"/>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Cyber incident</w:t>
            </w:r>
          </w:p>
        </w:tc>
        <w:tc>
          <w:tcPr>
            <w:tcW w:w="16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3.1</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3.1</w:t>
            </w:r>
          </w:p>
        </w:tc>
      </w:tr>
      <w:tr>
        <w:trPr>
          <w:trHeight w:val="142"/>
        </w:trPr>
        <w:tc>
          <w:tcPr>
            <w:tcW w:w="4080" w:type="dxa"/>
            <w:vAlign w:val="bottom"/>
            <w:shd w:val="clear" w:color="auto" w:fill="CCEEFF"/>
          </w:tcPr>
          <w:p>
            <w:pPr>
              <w:ind w:left="300"/>
              <w:spacing w:after="0" w:line="142" w:lineRule="exact"/>
              <w:rPr>
                <w:sz w:val="20"/>
                <w:szCs w:val="20"/>
                <w:color w:val="auto"/>
              </w:rPr>
            </w:pPr>
            <w:r>
              <w:rPr>
                <w:rFonts w:ascii="Arial" w:cs="Arial" w:eastAsia="Arial" w:hAnsi="Arial"/>
                <w:sz w:val="12"/>
                <w:szCs w:val="12"/>
                <w:color w:val="auto"/>
              </w:rPr>
              <w:t>Total adjustments</w:t>
            </w:r>
            <w:r>
              <w:rPr>
                <w:rFonts w:ascii="Arial" w:cs="Arial" w:eastAsia="Arial" w:hAnsi="Arial"/>
                <w:sz w:val="15"/>
                <w:szCs w:val="15"/>
                <w:color w:val="auto"/>
                <w:vertAlign w:val="superscript"/>
              </w:rPr>
              <w:t>(2)</w:t>
            </w:r>
          </w:p>
        </w:tc>
        <w:tc>
          <w:tcPr>
            <w:tcW w:w="1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155.7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155.7</w:t>
            </w:r>
          </w:p>
        </w:tc>
      </w:tr>
      <w:tr>
        <w:trPr>
          <w:trHeight w:val="169"/>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Non-GAAP income from operations</w:t>
            </w:r>
          </w:p>
        </w:tc>
        <w:tc>
          <w:tcPr>
            <w:tcW w:w="16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260.4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264.9</w:t>
            </w:r>
          </w:p>
        </w:tc>
      </w:tr>
      <w:tr>
        <w:trPr>
          <w:trHeight w:val="135"/>
        </w:trPr>
        <w:tc>
          <w:tcPr>
            <w:tcW w:w="4080" w:type="dxa"/>
            <w:vAlign w:val="bottom"/>
            <w:shd w:val="clear" w:color="auto" w:fill="CCEEFF"/>
          </w:tcPr>
          <w:p>
            <w:pPr>
              <w:spacing w:after="0" w:line="104" w:lineRule="exact"/>
              <w:rPr>
                <w:sz w:val="20"/>
                <w:szCs w:val="20"/>
                <w:color w:val="auto"/>
              </w:rPr>
            </w:pPr>
            <w:r>
              <w:rPr>
                <w:rFonts w:ascii="Arial" w:cs="Arial" w:eastAsia="Arial" w:hAnsi="Arial"/>
                <w:sz w:val="10"/>
                <w:szCs w:val="10"/>
                <w:i w:val="1"/>
                <w:iCs w:val="1"/>
                <w:color w:val="auto"/>
              </w:rPr>
              <w:t>Non-GAAP operating margin</w:t>
            </w:r>
          </w:p>
        </w:tc>
        <w:tc>
          <w:tcPr>
            <w:tcW w:w="1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i w:val="1"/>
                <w:iCs w:val="1"/>
                <w:color w:val="auto"/>
              </w:rPr>
              <w:t>38 %</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i w:val="1"/>
                <w:iCs w:val="1"/>
                <w:color w:val="auto"/>
              </w:rPr>
              <w:t>39 %</w:t>
            </w:r>
          </w:p>
        </w:tc>
      </w:tr>
      <w:tr>
        <w:trPr>
          <w:trHeight w:val="161"/>
        </w:trPr>
        <w:tc>
          <w:tcPr>
            <w:tcW w:w="10300" w:type="dxa"/>
            <w:vAlign w:val="bottom"/>
            <w:gridSpan w:val="19"/>
          </w:tcPr>
          <w:p>
            <w:pPr>
              <w:spacing w:after="0"/>
              <w:rPr>
                <w:sz w:val="20"/>
                <w:szCs w:val="20"/>
                <w:color w:val="auto"/>
              </w:rPr>
            </w:pPr>
            <w:r>
              <w:rPr>
                <w:rFonts w:ascii="Arial" w:cs="Arial" w:eastAsia="Arial" w:hAnsi="Arial"/>
                <w:sz w:val="12"/>
                <w:szCs w:val="12"/>
                <w:color w:val="auto"/>
                <w:w w:val="91"/>
                <w:vertAlign w:val="superscript"/>
              </w:rPr>
              <w:t>(2)</w:t>
            </w:r>
            <w:r>
              <w:rPr>
                <w:rFonts w:ascii="Arial" w:cs="Arial" w:eastAsia="Arial" w:hAnsi="Arial"/>
                <w:sz w:val="10"/>
                <w:szCs w:val="10"/>
                <w:color w:val="auto"/>
                <w:w w:val="91"/>
              </w:rPr>
              <w:t>Total adjustments include preliminary estimates relating to the valuation of intangible assets acquired from MarkLogic and restructuring expenses. The final amounts will not be available until the Company's internal procedures and reviews are completed.</w:t>
            </w:r>
          </w:p>
        </w:tc>
        <w:tc>
          <w:tcPr>
            <w:tcW w:w="1000" w:type="dxa"/>
            <w:vAlign w:val="bottom"/>
          </w:tcPr>
          <w:p>
            <w:pPr>
              <w:spacing w:after="0"/>
              <w:rPr>
                <w:sz w:val="13"/>
                <w:szCs w:val="13"/>
                <w:color w:val="auto"/>
              </w:rPr>
            </w:pPr>
          </w:p>
        </w:tc>
      </w:tr>
      <w:tr>
        <w:trPr>
          <w:trHeight w:val="370"/>
        </w:trPr>
        <w:tc>
          <w:tcPr>
            <w:tcW w:w="5700" w:type="dxa"/>
            <w:vAlign w:val="bottom"/>
            <w:gridSpan w:val="2"/>
          </w:tcPr>
          <w:p>
            <w:pPr>
              <w:spacing w:after="0"/>
              <w:rPr>
                <w:sz w:val="20"/>
                <w:szCs w:val="20"/>
                <w:color w:val="auto"/>
              </w:rPr>
            </w:pPr>
            <w:r>
              <w:rPr>
                <w:rFonts w:ascii="Arial" w:cs="Arial" w:eastAsia="Arial" w:hAnsi="Arial"/>
                <w:sz w:val="12"/>
                <w:szCs w:val="12"/>
                <w:b w:val="1"/>
                <w:bCs w:val="1"/>
                <w:color w:val="auto"/>
              </w:rPr>
              <w:t>Fiscal Year 2023 Updated Non-GAAP Earnings per Share and Effective Tax Rate Guidance</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3"/>
        </w:trPr>
        <w:tc>
          <w:tcPr>
            <w:tcW w:w="40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10"/>
          </w:tcPr>
          <w:p>
            <w:pPr>
              <w:jc w:val="center"/>
              <w:ind w:right="460"/>
              <w:spacing w:after="0"/>
              <w:rPr>
                <w:sz w:val="20"/>
                <w:szCs w:val="20"/>
                <w:color w:val="auto"/>
              </w:rPr>
            </w:pPr>
            <w:r>
              <w:rPr>
                <w:rFonts w:ascii="Arial" w:cs="Arial" w:eastAsia="Arial" w:hAnsi="Arial"/>
                <w:sz w:val="12"/>
                <w:szCs w:val="12"/>
                <w:color w:val="auto"/>
                <w:w w:val="90"/>
              </w:rPr>
              <w:t>Fiscal Year Ending November 30, 2023</w:t>
            </w:r>
          </w:p>
        </w:tc>
        <w:tc>
          <w:tcPr>
            <w:tcW w:w="1000" w:type="dxa"/>
            <w:vAlign w:val="bottom"/>
            <w:tcBorders>
              <w:bottom w:val="single" w:sz="8" w:color="auto"/>
            </w:tcBorders>
          </w:tcPr>
          <w:p>
            <w:pPr>
              <w:spacing w:after="0"/>
              <w:rPr>
                <w:sz w:val="13"/>
                <w:szCs w:val="13"/>
                <w:color w:val="auto"/>
              </w:rPr>
            </w:pPr>
          </w:p>
        </w:tc>
      </w:tr>
      <w:tr>
        <w:trPr>
          <w:trHeight w:val="142"/>
        </w:trPr>
        <w:tc>
          <w:tcPr>
            <w:tcW w:w="408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(In millions, except per share data)</w:t>
            </w:r>
          </w:p>
        </w:tc>
        <w:tc>
          <w:tcPr>
            <w:tcW w:w="16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Low</w:t>
            </w:r>
          </w:p>
        </w:tc>
        <w:tc>
          <w:tcPr>
            <w:tcW w:w="10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color w:val="auto"/>
              </w:rPr>
              <w:t>High</w:t>
            </w:r>
          </w:p>
        </w:tc>
        <w:tc>
          <w:tcPr>
            <w:tcW w:w="1000" w:type="dxa"/>
            <w:vAlign w:val="bottom"/>
            <w:tcBorders>
              <w:bottom w:val="single" w:sz="8" w:color="auto"/>
            </w:tcBorders>
          </w:tcPr>
          <w:p>
            <w:pPr>
              <w:spacing w:after="0"/>
              <w:rPr>
                <w:sz w:val="12"/>
                <w:szCs w:val="12"/>
                <w:color w:val="auto"/>
              </w:rPr>
            </w:pPr>
          </w:p>
        </w:tc>
      </w:tr>
      <w:tr>
        <w:trPr>
          <w:trHeight w:val="142"/>
        </w:trPr>
        <w:tc>
          <w:tcPr>
            <w:tcW w:w="40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GAAP net income</w:t>
            </w:r>
          </w:p>
        </w:tc>
        <w:tc>
          <w:tcPr>
            <w:tcW w:w="1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58.8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62.3</w:t>
            </w:r>
          </w:p>
        </w:tc>
      </w:tr>
      <w:tr>
        <w:trPr>
          <w:trHeight w:val="153"/>
        </w:trPr>
        <w:tc>
          <w:tcPr>
            <w:tcW w:w="4080" w:type="dxa"/>
            <w:vAlign w:val="bottom"/>
          </w:tcPr>
          <w:p>
            <w:pPr>
              <w:ind w:left="140"/>
              <w:spacing w:after="0"/>
              <w:rPr>
                <w:sz w:val="20"/>
                <w:szCs w:val="20"/>
                <w:color w:val="auto"/>
              </w:rPr>
            </w:pPr>
            <w:r>
              <w:rPr>
                <w:rFonts w:ascii="Arial" w:cs="Arial" w:eastAsia="Arial" w:hAnsi="Arial"/>
                <w:sz w:val="12"/>
                <w:szCs w:val="12"/>
                <w:color w:val="auto"/>
              </w:rPr>
              <w:t>Adjustments (from previous table)</w:t>
            </w: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155.7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155.7</w:t>
            </w:r>
          </w:p>
        </w:tc>
      </w:tr>
      <w:tr>
        <w:trPr>
          <w:trHeight w:val="153"/>
        </w:trPr>
        <w:tc>
          <w:tcPr>
            <w:tcW w:w="40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Income tax adjustment</w:t>
            </w:r>
            <w:r>
              <w:rPr>
                <w:rFonts w:ascii="Arial" w:cs="Arial" w:eastAsia="Arial" w:hAnsi="Arial"/>
                <w:sz w:val="15"/>
                <w:szCs w:val="15"/>
                <w:color w:val="auto"/>
                <w:vertAlign w:val="superscript"/>
              </w:rPr>
              <w:t>(3)</w:t>
            </w:r>
          </w:p>
        </w:tc>
        <w:tc>
          <w:tcPr>
            <w:tcW w:w="1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(31.9)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(31.9)</w:t>
            </w:r>
          </w:p>
        </w:tc>
      </w:tr>
      <w:tr>
        <w:trPr>
          <w:trHeight w:val="158"/>
        </w:trPr>
        <w:tc>
          <w:tcPr>
            <w:tcW w:w="4080" w:type="dxa"/>
            <w:vAlign w:val="bottom"/>
          </w:tcPr>
          <w:p>
            <w:pPr>
              <w:spacing w:after="0" w:line="133" w:lineRule="exact"/>
              <w:rPr>
                <w:sz w:val="20"/>
                <w:szCs w:val="20"/>
                <w:color w:val="auto"/>
              </w:rPr>
            </w:pPr>
            <w:r>
              <w:rPr>
                <w:rFonts w:ascii="Arial" w:cs="Arial" w:eastAsia="Arial" w:hAnsi="Arial"/>
                <w:sz w:val="12"/>
                <w:szCs w:val="12"/>
                <w:color w:val="auto"/>
              </w:rPr>
              <w:t>Non-GAAP net income</w:t>
            </w: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182.6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ind w:right="62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186.1</w:t>
            </w:r>
          </w:p>
        </w:tc>
      </w:tr>
      <w:tr>
        <w:trPr>
          <w:trHeight w:val="90"/>
        </w:trPr>
        <w:tc>
          <w:tcPr>
            <w:tcW w:w="4080" w:type="dxa"/>
            <w:vAlign w:val="bottom"/>
            <w:tcBorders>
              <w:top w:val="single" w:sz="8" w:color="CCEEFF"/>
            </w:tcBorders>
            <w:shd w:val="clear" w:color="auto" w:fill="CCEEFF"/>
          </w:tcPr>
          <w:p>
            <w:pPr>
              <w:spacing w:after="0"/>
              <w:rPr>
                <w:sz w:val="7"/>
                <w:szCs w:val="7"/>
                <w:color w:val="auto"/>
              </w:rPr>
            </w:pPr>
          </w:p>
        </w:tc>
        <w:tc>
          <w:tcPr>
            <w:tcW w:w="162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0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1000" w:type="dxa"/>
            <w:vAlign w:val="bottom"/>
            <w:tcBorders>
              <w:top w:val="single" w:sz="8" w:color="auto"/>
            </w:tcBorders>
            <w:shd w:val="clear" w:color="auto" w:fill="CCEEFF"/>
          </w:tcPr>
          <w:p>
            <w:pPr>
              <w:spacing w:after="0"/>
              <w:rPr>
                <w:sz w:val="7"/>
                <w:szCs w:val="7"/>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GAAP diluted earnings per share</w:t>
            </w: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1.32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ind w:right="62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1.40</w:t>
            </w: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Non-GAAP diluted earnings per share</w:t>
            </w:r>
          </w:p>
        </w:tc>
        <w:tc>
          <w:tcPr>
            <w:tcW w:w="1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4.09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4.17</w:t>
            </w:r>
          </w:p>
        </w:tc>
      </w:tr>
      <w:tr>
        <w:trPr>
          <w:trHeight w:val="108"/>
        </w:trPr>
        <w:tc>
          <w:tcPr>
            <w:tcW w:w="4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Diluted weighted average shares outstanding</w:t>
            </w:r>
          </w:p>
        </w:tc>
        <w:tc>
          <w:tcPr>
            <w:tcW w:w="1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365760</wp:posOffset>
            </wp:positionV>
            <wp:extent cx="31261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26105" cy="571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60" w:hanging="47"/>
        <w:spacing w:after="0"/>
        <w:tabs>
          <w:tab w:leader="none" w:pos="60" w:val="left"/>
        </w:tabs>
        <w:numPr>
          <w:ilvl w:val="0"/>
          <w:numId w:val="6"/>
        </w:numPr>
        <w:rPr>
          <w:rFonts w:ascii="Arial" w:cs="Arial" w:eastAsia="Arial" w:hAnsi="Arial"/>
          <w:sz w:val="12"/>
          <w:szCs w:val="12"/>
          <w:color w:val="auto"/>
          <w:vertAlign w:val="superscript"/>
        </w:rPr>
      </w:pPr>
      <w:r>
        <w:rPr>
          <w:rFonts w:ascii="Arial" w:cs="Arial" w:eastAsia="Arial" w:hAnsi="Arial"/>
          <w:sz w:val="8"/>
          <w:szCs w:val="8"/>
          <w:color w:val="auto"/>
        </w:rPr>
        <w:t>Tax adjustment is based on a non-GAAP effective tax rate of approximately 20% for Low and 21% for High, calculated as follows:</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100" w:type="dxa"/>
            <w:vAlign w:val="bottom"/>
          </w:tcPr>
          <w:p>
            <w:pPr>
              <w:spacing w:after="0"/>
              <w:rPr>
                <w:sz w:val="20"/>
                <w:szCs w:val="20"/>
                <w:color w:val="auto"/>
              </w:rPr>
            </w:pPr>
            <w:r>
              <w:rPr>
                <w:rFonts w:ascii="Arial" w:cs="Arial" w:eastAsia="Arial" w:hAnsi="Arial"/>
                <w:sz w:val="10"/>
                <w:szCs w:val="10"/>
                <w:color w:val="auto"/>
              </w:rPr>
              <w:t>Non-GAAP income from operations</w:t>
            </w:r>
          </w:p>
        </w:tc>
        <w:tc>
          <w:tcPr>
            <w:tcW w:w="1120" w:type="dxa"/>
            <w:vAlign w:val="bottom"/>
          </w:tcPr>
          <w:p>
            <w:pPr>
              <w:jc w:val="right"/>
              <w:ind w:right="101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ind w:right="72"/>
              <w:spacing w:after="0"/>
              <w:rPr>
                <w:sz w:val="20"/>
                <w:szCs w:val="20"/>
                <w:color w:val="auto"/>
              </w:rPr>
            </w:pPr>
            <w:r>
              <w:rPr>
                <w:rFonts w:ascii="Arial" w:cs="Arial" w:eastAsia="Arial" w:hAnsi="Arial"/>
                <w:sz w:val="10"/>
                <w:szCs w:val="10"/>
                <w:color w:val="auto"/>
              </w:rPr>
              <w:t>260.4</w:t>
            </w:r>
          </w:p>
        </w:tc>
        <w:tc>
          <w:tcPr>
            <w:tcW w:w="100" w:type="dxa"/>
            <w:vAlign w:val="bottom"/>
          </w:tcPr>
          <w:p>
            <w:pPr>
              <w:spacing w:after="0"/>
              <w:rPr>
                <w:sz w:val="10"/>
                <w:szCs w:val="10"/>
                <w:color w:val="auto"/>
              </w:rPr>
            </w:pPr>
          </w:p>
        </w:tc>
        <w:tc>
          <w:tcPr>
            <w:tcW w:w="1140" w:type="dxa"/>
            <w:vAlign w:val="bottom"/>
          </w:tcPr>
          <w:p>
            <w:pPr>
              <w:jc w:val="right"/>
              <w:ind w:right="10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ind w:right="72"/>
              <w:spacing w:after="0"/>
              <w:rPr>
                <w:sz w:val="20"/>
                <w:szCs w:val="20"/>
                <w:color w:val="auto"/>
              </w:rPr>
            </w:pPr>
            <w:r>
              <w:rPr>
                <w:rFonts w:ascii="Arial" w:cs="Arial" w:eastAsia="Arial" w:hAnsi="Arial"/>
                <w:sz w:val="10"/>
                <w:szCs w:val="10"/>
                <w:color w:val="auto"/>
              </w:rPr>
              <w:t>264.9</w:t>
            </w:r>
          </w:p>
        </w:tc>
        <w:tc>
          <w:tcPr>
            <w:tcW w:w="0" w:type="dxa"/>
            <w:vAlign w:val="bottom"/>
          </w:tcPr>
          <w:p>
            <w:pPr>
              <w:spacing w:after="0"/>
              <w:rPr>
                <w:sz w:val="1"/>
                <w:szCs w:val="1"/>
                <w:color w:val="auto"/>
              </w:rPr>
            </w:pPr>
          </w:p>
        </w:tc>
      </w:tr>
      <w:tr>
        <w:trPr>
          <w:trHeight w:val="133"/>
        </w:trPr>
        <w:tc>
          <w:tcPr>
            <w:tcW w:w="6100" w:type="dxa"/>
            <w:vAlign w:val="bottom"/>
          </w:tcPr>
          <w:p>
            <w:pPr>
              <w:ind w:left="120"/>
              <w:spacing w:after="0"/>
              <w:rPr>
                <w:sz w:val="20"/>
                <w:szCs w:val="20"/>
                <w:color w:val="auto"/>
              </w:rPr>
            </w:pPr>
            <w:r>
              <w:rPr>
                <w:rFonts w:ascii="Arial" w:cs="Arial" w:eastAsia="Arial" w:hAnsi="Arial"/>
                <w:sz w:val="10"/>
                <w:szCs w:val="10"/>
                <w:color w:val="auto"/>
              </w:rPr>
              <w:t>Other (expense) income</w:t>
            </w:r>
          </w:p>
        </w:tc>
        <w:tc>
          <w:tcPr>
            <w:tcW w:w="1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(30.8)</w:t>
            </w:r>
          </w:p>
        </w:tc>
        <w:tc>
          <w:tcPr>
            <w:tcW w:w="10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(30.8)</w:t>
            </w:r>
          </w:p>
        </w:tc>
        <w:tc>
          <w:tcPr>
            <w:tcW w:w="0" w:type="dxa"/>
            <w:vAlign w:val="bottom"/>
          </w:tcPr>
          <w:p>
            <w:pPr>
              <w:spacing w:after="0"/>
              <w:rPr>
                <w:sz w:val="1"/>
                <w:szCs w:val="1"/>
                <w:color w:val="auto"/>
              </w:rPr>
            </w:pPr>
          </w:p>
        </w:tc>
      </w:tr>
      <w:tr>
        <w:trPr>
          <w:trHeight w:val="124"/>
        </w:trPr>
        <w:tc>
          <w:tcPr>
            <w:tcW w:w="6100" w:type="dxa"/>
            <w:vAlign w:val="bottom"/>
          </w:tcPr>
          <w:p>
            <w:pPr>
              <w:spacing w:after="0" w:line="109" w:lineRule="exact"/>
              <w:rPr>
                <w:sz w:val="20"/>
                <w:szCs w:val="20"/>
                <w:color w:val="auto"/>
              </w:rPr>
            </w:pPr>
            <w:r>
              <w:rPr>
                <w:rFonts w:ascii="Arial" w:cs="Arial" w:eastAsia="Arial" w:hAnsi="Arial"/>
                <w:sz w:val="10"/>
                <w:szCs w:val="10"/>
                <w:color w:val="auto"/>
              </w:rPr>
              <w:t>Non-GAAP income from continuing operations before income taxes</w:t>
            </w:r>
          </w:p>
        </w:tc>
        <w:tc>
          <w:tcPr>
            <w:tcW w:w="1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229.6</w:t>
            </w:r>
          </w:p>
        </w:tc>
        <w:tc>
          <w:tcPr>
            <w:tcW w:w="10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234.1</w:t>
            </w:r>
          </w:p>
        </w:tc>
        <w:tc>
          <w:tcPr>
            <w:tcW w:w="0" w:type="dxa"/>
            <w:vAlign w:val="bottom"/>
          </w:tcPr>
          <w:p>
            <w:pPr>
              <w:spacing w:after="0"/>
              <w:rPr>
                <w:sz w:val="1"/>
                <w:szCs w:val="1"/>
                <w:color w:val="auto"/>
              </w:rPr>
            </w:pPr>
          </w:p>
        </w:tc>
      </w:tr>
      <w:tr>
        <w:trPr>
          <w:trHeight w:val="124"/>
        </w:trPr>
        <w:tc>
          <w:tcPr>
            <w:tcW w:w="6100" w:type="dxa"/>
            <w:vAlign w:val="bottom"/>
          </w:tcPr>
          <w:p>
            <w:pPr>
              <w:ind w:left="120"/>
              <w:spacing w:after="0" w:line="109" w:lineRule="exact"/>
              <w:rPr>
                <w:sz w:val="20"/>
                <w:szCs w:val="20"/>
                <w:color w:val="auto"/>
              </w:rPr>
            </w:pPr>
            <w:r>
              <w:rPr>
                <w:rFonts w:ascii="Arial" w:cs="Arial" w:eastAsia="Arial" w:hAnsi="Arial"/>
                <w:sz w:val="10"/>
                <w:szCs w:val="10"/>
                <w:color w:val="auto"/>
              </w:rPr>
              <w:t>Non-GAAP net income</w:t>
            </w:r>
          </w:p>
        </w:tc>
        <w:tc>
          <w:tcPr>
            <w:tcW w:w="1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182.6</w:t>
            </w:r>
          </w:p>
        </w:tc>
        <w:tc>
          <w:tcPr>
            <w:tcW w:w="10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186.1</w:t>
            </w:r>
          </w:p>
        </w:tc>
        <w:tc>
          <w:tcPr>
            <w:tcW w:w="0" w:type="dxa"/>
            <w:vAlign w:val="bottom"/>
          </w:tcPr>
          <w:p>
            <w:pPr>
              <w:spacing w:after="0"/>
              <w:rPr>
                <w:sz w:val="1"/>
                <w:szCs w:val="1"/>
                <w:color w:val="auto"/>
              </w:rPr>
            </w:pPr>
          </w:p>
        </w:tc>
      </w:tr>
      <w:tr>
        <w:trPr>
          <w:trHeight w:val="124"/>
        </w:trPr>
        <w:tc>
          <w:tcPr>
            <w:tcW w:w="6100" w:type="dxa"/>
            <w:vAlign w:val="bottom"/>
          </w:tcPr>
          <w:p>
            <w:pPr>
              <w:spacing w:after="0" w:line="109" w:lineRule="exact"/>
              <w:rPr>
                <w:sz w:val="20"/>
                <w:szCs w:val="20"/>
                <w:color w:val="auto"/>
              </w:rPr>
            </w:pPr>
            <w:r>
              <w:rPr>
                <w:rFonts w:ascii="Arial" w:cs="Arial" w:eastAsia="Arial" w:hAnsi="Arial"/>
                <w:sz w:val="10"/>
                <w:szCs w:val="10"/>
                <w:color w:val="auto"/>
              </w:rPr>
              <w:t>Tax provision</w:t>
            </w:r>
          </w:p>
        </w:tc>
        <w:tc>
          <w:tcPr>
            <w:tcW w:w="1120" w:type="dxa"/>
            <w:vAlign w:val="bottom"/>
            <w:tcBorders>
              <w:bottom w:val="single" w:sz="8" w:color="auto"/>
            </w:tcBorders>
          </w:tcPr>
          <w:p>
            <w:pPr>
              <w:jc w:val="right"/>
              <w:ind w:right="101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47.0</w:t>
            </w:r>
          </w:p>
        </w:tc>
        <w:tc>
          <w:tcPr>
            <w:tcW w:w="100" w:type="dxa"/>
            <w:vAlign w:val="bottom"/>
          </w:tcPr>
          <w:p>
            <w:pPr>
              <w:spacing w:after="0"/>
              <w:rPr>
                <w:sz w:val="10"/>
                <w:szCs w:val="10"/>
                <w:color w:val="auto"/>
              </w:rPr>
            </w:pP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48.0</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0"/>
                <w:szCs w:val="10"/>
                <w:color w:val="auto"/>
              </w:rPr>
              <w:t>Non-GAAP tax rate</w:t>
            </w: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00" w:type="dxa"/>
            <w:vAlign w:val="bottom"/>
          </w:tcPr>
          <w:p>
            <w:pPr>
              <w:jc w:val="right"/>
              <w:spacing w:after="0" w:line="109" w:lineRule="exact"/>
              <w:rPr>
                <w:sz w:val="20"/>
                <w:szCs w:val="20"/>
                <w:color w:val="auto"/>
              </w:rPr>
            </w:pPr>
            <w:r>
              <w:rPr>
                <w:rFonts w:ascii="Arial" w:cs="Arial" w:eastAsia="Arial" w:hAnsi="Arial"/>
                <w:sz w:val="10"/>
                <w:szCs w:val="10"/>
                <w:color w:val="auto"/>
              </w:rPr>
              <w:t>20 %</w:t>
            </w: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0" w:type="dxa"/>
            <w:vAlign w:val="bottom"/>
          </w:tcPr>
          <w:p>
            <w:pPr>
              <w:jc w:val="right"/>
              <w:spacing w:after="0" w:line="109" w:lineRule="exact"/>
              <w:rPr>
                <w:sz w:val="20"/>
                <w:szCs w:val="20"/>
                <w:color w:val="auto"/>
              </w:rPr>
            </w:pPr>
            <w:r>
              <w:rPr>
                <w:rFonts w:ascii="Arial" w:cs="Arial" w:eastAsia="Arial" w:hAnsi="Arial"/>
                <w:sz w:val="10"/>
                <w:szCs w:val="10"/>
                <w:color w:val="auto"/>
              </w:rPr>
              <w:t>21 %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989" w:right="2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2"/>
          <w:szCs w:val="12"/>
          <w:b w:val="1"/>
          <w:bCs w:val="1"/>
          <w:color w:val="auto"/>
        </w:rPr>
        <w:t>RECONCILIATIONS OF GAAP TO NON-GAAP FINANCIAL MEASURES FOR FISCAL YEAR 2023 GUIDANCE</w:t>
      </w:r>
      <w:r>
        <w:rPr>
          <w:rFonts w:ascii="Arial" w:cs="Arial" w:eastAsia="Arial" w:hAnsi="Arial"/>
          <w:sz w:val="15"/>
          <w:szCs w:val="15"/>
          <w:b w:val="1"/>
          <w:bCs w:val="1"/>
          <w:color w:val="auto"/>
          <w:vertAlign w:val="superscript"/>
        </w:rPr>
        <w:t>1</w:t>
      </w:r>
    </w:p>
    <w:p>
      <w:pPr>
        <w:spacing w:after="0"/>
        <w:rPr>
          <w:sz w:val="20"/>
          <w:szCs w:val="20"/>
          <w:color w:val="auto"/>
        </w:rPr>
      </w:pPr>
      <w:r>
        <w:rPr>
          <w:rFonts w:ascii="Arial" w:cs="Arial" w:eastAsia="Arial" w:hAnsi="Arial"/>
          <w:sz w:val="12"/>
          <w:szCs w:val="12"/>
          <w:color w:val="auto"/>
        </w:rPr>
        <w:t>(Unaudited)</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2023 Adjusted Free Cash Flow Guidance</w:t>
      </w:r>
    </w:p>
    <w:p>
      <w:pPr>
        <w:spacing w:after="0" w:line="19" w:lineRule="exact"/>
        <w:rPr>
          <w:sz w:val="20"/>
          <w:szCs w:val="20"/>
          <w:color w:val="auto"/>
        </w:rPr>
      </w:pPr>
    </w:p>
    <w:p>
      <w:pPr>
        <w:jc w:val="right"/>
        <w:ind w:right="1600"/>
        <w:spacing w:after="0"/>
        <w:rPr>
          <w:sz w:val="20"/>
          <w:szCs w:val="20"/>
          <w:color w:val="auto"/>
        </w:rPr>
      </w:pPr>
      <w:r>
        <w:rPr>
          <w:rFonts w:ascii="Arial" w:cs="Arial" w:eastAsia="Arial" w:hAnsi="Arial"/>
          <w:sz w:val="12"/>
          <w:szCs w:val="12"/>
          <w:color w:val="auto"/>
        </w:rPr>
        <w:t>Fiscal Year Ending November 30, 2023</w:t>
      </w:r>
    </w:p>
    <w:p>
      <w:pPr>
        <w:sectPr>
          <w:pgSz w:w="11900" w:h="16838" w:orient="portrait"/>
          <w:cols w:equalWidth="0" w:num="1">
            <w:col w:w="11300"/>
          </w:cols>
          <w:pgMar w:left="300" w:top="976" w:right="29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Cash flows from operations (GAAP)</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Add back: restructuring payments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Adjusted free cash flow (non-GAAP)</w:t>
      </w:r>
    </w:p>
    <w:p>
      <w:pPr>
        <w:spacing w:after="0" w:line="200" w:lineRule="exact"/>
        <w:rPr>
          <w:sz w:val="20"/>
          <w:szCs w:val="20"/>
          <w:color w:val="auto"/>
        </w:rPr>
      </w:pPr>
    </w:p>
    <w:p>
      <w:pPr>
        <w:spacing w:after="0" w:line="225" w:lineRule="exact"/>
        <w:rPr>
          <w:sz w:val="20"/>
          <w:szCs w:val="20"/>
          <w:color w:val="auto"/>
        </w:rPr>
      </w:pPr>
    </w:p>
    <w:p>
      <w:pPr>
        <w:ind w:right="120"/>
        <w:spacing w:after="0" w:line="232" w:lineRule="auto"/>
        <w:rPr>
          <w:sz w:val="20"/>
          <w:szCs w:val="20"/>
          <w:color w:val="auto"/>
        </w:rPr>
      </w:pPr>
      <w:r>
        <w:rPr>
          <w:rFonts w:ascii="Arial" w:cs="Arial" w:eastAsia="Arial" w:hAnsi="Arial"/>
          <w:sz w:val="12"/>
          <w:szCs w:val="12"/>
          <w:b w:val="1"/>
          <w:bCs w:val="1"/>
          <w:color w:val="auto"/>
        </w:rPr>
        <w:t>RECONCILIATIONS OF GAAP TO NON-GAAP FINANCIAL MEASURES FOR Q2 2023 GUIDANCE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12"/>
          <w:szCs w:val="12"/>
          <w:color w:val="auto"/>
        </w:rPr>
        <w:t>(Unaudited)</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Q2 2023 Revenue Guidance</w:t>
      </w:r>
    </w:p>
    <w:p>
      <w:pPr>
        <w:spacing w:after="0" w:line="19" w:lineRule="exact"/>
        <w:rPr>
          <w:sz w:val="20"/>
          <w:szCs w:val="20"/>
          <w:color w:val="auto"/>
        </w:rPr>
      </w:pPr>
    </w:p>
    <w:p>
      <w:pPr>
        <w:jc w:val="center"/>
        <w:ind w:left="4540"/>
        <w:spacing w:after="0"/>
        <w:rPr>
          <w:sz w:val="20"/>
          <w:szCs w:val="20"/>
          <w:color w:val="auto"/>
        </w:rPr>
      </w:pPr>
      <w:r>
        <w:rPr>
          <w:rFonts w:ascii="Arial" w:cs="Arial" w:eastAsia="Arial" w:hAnsi="Arial"/>
          <w:sz w:val="10"/>
          <w:szCs w:val="10"/>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24130</wp:posOffset>
            </wp:positionV>
            <wp:extent cx="136588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65885" cy="5715"/>
                    </a:xfrm>
                    <a:prstGeom prst="rect">
                      <a:avLst/>
                    </a:prstGeom>
                    <a:noFill/>
                  </pic:spPr>
                </pic:pic>
              </a:graphicData>
            </a:graphic>
          </wp:anchor>
        </w:drawing>
      </w:r>
    </w:p>
    <w:p>
      <w:pPr>
        <w:spacing w:after="0" w:line="27" w:lineRule="exact"/>
        <w:rPr>
          <w:sz w:val="20"/>
          <w:szCs w:val="20"/>
          <w:color w:val="auto"/>
        </w:rPr>
      </w:pPr>
    </w:p>
    <w:p>
      <w:pPr>
        <w:jc w:val="center"/>
        <w:ind w:left="4540"/>
        <w:spacing w:after="0"/>
        <w:rPr>
          <w:sz w:val="20"/>
          <w:szCs w:val="20"/>
          <w:color w:val="auto"/>
        </w:rPr>
      </w:pPr>
      <w:r>
        <w:rPr>
          <w:rFonts w:ascii="Arial" w:cs="Arial" w:eastAsia="Arial" w:hAnsi="Arial"/>
          <w:sz w:val="12"/>
          <w:szCs w:val="12"/>
          <w:color w:val="auto"/>
        </w:rPr>
        <w:t>May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9525</wp:posOffset>
            </wp:positionV>
            <wp:extent cx="136588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5885" cy="57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(In millions)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6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2"/>
          </w:tcPr>
          <w:p>
            <w:pPr>
              <w:ind w:left="540"/>
              <w:spacing w:after="0"/>
              <w:rPr>
                <w:sz w:val="20"/>
                <w:szCs w:val="20"/>
                <w:color w:val="auto"/>
              </w:rPr>
            </w:pPr>
            <w:r>
              <w:rPr>
                <w:rFonts w:ascii="Arial" w:cs="Arial" w:eastAsia="Arial" w:hAnsi="Arial"/>
                <w:sz w:val="12"/>
                <w:szCs w:val="12"/>
                <w:color w:val="auto"/>
              </w:rPr>
              <w:t>Low</w:t>
            </w:r>
          </w:p>
        </w:tc>
        <w:tc>
          <w:tcPr>
            <w:tcW w:w="6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jc w:val="right"/>
              <w:ind w:right="1080"/>
              <w:spacing w:after="0"/>
              <w:rPr>
                <w:sz w:val="20"/>
                <w:szCs w:val="20"/>
                <w:color w:val="auto"/>
              </w:rPr>
            </w:pPr>
            <w:r>
              <w:rPr>
                <w:rFonts w:ascii="Arial" w:cs="Arial" w:eastAsia="Arial" w:hAnsi="Arial"/>
                <w:sz w:val="12"/>
                <w:szCs w:val="12"/>
                <w:color w:val="auto"/>
              </w:rPr>
              <w:t>High</w:t>
            </w:r>
          </w:p>
        </w:tc>
      </w:tr>
      <w:tr>
        <w:trPr>
          <w:trHeight w:val="142"/>
        </w:trPr>
        <w:tc>
          <w:tcPr>
            <w:tcW w:w="600" w:type="dxa"/>
            <w:vAlign w:val="bottom"/>
            <w:tcBorders>
              <w:top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173</w:t>
            </w: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183</w:t>
            </w:r>
          </w:p>
        </w:tc>
      </w:tr>
      <w:tr>
        <w:trPr>
          <w:trHeight w:val="153"/>
        </w:trPr>
        <w:tc>
          <w:tcPr>
            <w:tcW w:w="6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53"/>
        </w:trPr>
        <w:tc>
          <w:tcPr>
            <w:tcW w:w="6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r>
      <w:tr>
        <w:trPr>
          <w:trHeight w:val="142"/>
        </w:trPr>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w:t>
            </w:r>
          </w:p>
        </w:tc>
        <w:tc>
          <w:tcPr>
            <w:tcW w:w="80" w:type="dxa"/>
            <w:vAlign w:val="bottom"/>
          </w:tcPr>
          <w:p>
            <w:pPr>
              <w:spacing w:after="0"/>
              <w:rPr>
                <w:sz w:val="12"/>
                <w:szCs w:val="12"/>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Three Months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322326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322326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4" w:lineRule="exact"/>
        <w:rPr>
          <w:sz w:val="20"/>
          <w:szCs w:val="20"/>
          <w:color w:val="auto"/>
        </w:rPr>
      </w:pPr>
    </w:p>
    <w:p>
      <w:pPr>
        <w:ind w:left="440"/>
        <w:spacing w:after="0"/>
        <w:tabs>
          <w:tab w:leader="none" w:pos="1560" w:val="left"/>
          <w:tab w:leader="none" w:pos="3000" w:val="left"/>
          <w:tab w:leader="none" w:pos="4180" w:val="left"/>
        </w:tabs>
        <w:rPr>
          <w:sz w:val="20"/>
          <w:szCs w:val="20"/>
          <w:color w:val="auto"/>
        </w:rPr>
      </w:pPr>
      <w:r>
        <w:rPr>
          <w:rFonts w:ascii="Arial" w:cs="Arial" w:eastAsia="Arial" w:hAnsi="Arial"/>
          <w:sz w:val="12"/>
          <w:szCs w:val="12"/>
          <w:color w:val="auto"/>
        </w:rPr>
        <w:t>Low</w:t>
      </w:r>
      <w:r>
        <w:rPr>
          <w:sz w:val="20"/>
          <w:szCs w:val="20"/>
          <w:color w:val="auto"/>
        </w:rPr>
        <w:tab/>
      </w:r>
      <w:r>
        <w:rPr>
          <w:rFonts w:ascii="Arial" w:cs="Arial" w:eastAsia="Arial" w:hAnsi="Arial"/>
          <w:sz w:val="12"/>
          <w:szCs w:val="12"/>
          <w:color w:val="auto"/>
        </w:rPr>
        <w:t>% Change</w:t>
      </w:r>
      <w:r>
        <w:rPr>
          <w:sz w:val="20"/>
          <w:szCs w:val="20"/>
          <w:color w:val="auto"/>
        </w:rPr>
        <w:tab/>
      </w:r>
      <w:r>
        <w:rPr>
          <w:rFonts w:ascii="Arial" w:cs="Arial" w:eastAsia="Arial" w:hAnsi="Arial"/>
          <w:sz w:val="12"/>
          <w:szCs w:val="12"/>
          <w:color w:val="auto"/>
        </w:rPr>
        <w:t>High</w:t>
      </w:r>
      <w:r>
        <w:rPr>
          <w:sz w:val="20"/>
          <w:szCs w:val="20"/>
          <w:color w:val="auto"/>
        </w:rPr>
        <w:tab/>
      </w:r>
      <w:r>
        <w:rPr>
          <w:rFonts w:ascii="Arial" w:cs="Arial" w:eastAsia="Arial" w:hAnsi="Arial"/>
          <w:sz w:val="10"/>
          <w:szCs w:val="10"/>
          <w:color w:val="auto"/>
        </w:rPr>
        <w:t>% Change</w:t>
      </w:r>
    </w:p>
    <w:p>
      <w:pPr>
        <w:spacing w:after="0" w:line="13" w:lineRule="exact"/>
        <w:rPr>
          <w:sz w:val="20"/>
          <w:szCs w:val="20"/>
          <w:color w:val="auto"/>
        </w:rPr>
      </w:pPr>
    </w:p>
    <w:p>
      <w:pPr>
        <w:sectPr>
          <w:pgSz w:w="11900" w:h="16838" w:orient="portrait"/>
          <w:cols w:equalWidth="0" w:num="2">
            <w:col w:w="5560" w:space="660"/>
            <w:col w:w="5080"/>
          </w:cols>
          <w:pgMar w:left="300" w:top="976" w:right="29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GAAP revenue</w:t>
            </w:r>
          </w:p>
        </w:tc>
        <w:tc>
          <w:tcPr>
            <w:tcW w:w="960" w:type="dxa"/>
            <w:vAlign w:val="bottom"/>
            <w:tcBorders>
              <w:top w:val="single" w:sz="8" w:color="CCEEFF"/>
            </w:tcBorders>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148.7</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167.0</w:t>
            </w:r>
          </w:p>
        </w:tc>
        <w:tc>
          <w:tcPr>
            <w:tcW w:w="1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12 %</w:t>
            </w: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171.0</w:t>
            </w:r>
          </w:p>
        </w:tc>
        <w:tc>
          <w:tcPr>
            <w:tcW w:w="1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15 %</w:t>
            </w:r>
          </w:p>
        </w:tc>
      </w:tr>
      <w:tr>
        <w:trPr>
          <w:trHeight w:val="153"/>
        </w:trPr>
        <w:tc>
          <w:tcPr>
            <w:tcW w:w="39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Acquisition-related adjustments - revenue</w:t>
            </w:r>
          </w:p>
        </w:tc>
        <w:tc>
          <w:tcPr>
            <w:tcW w:w="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w:t>
            </w:r>
          </w:p>
        </w:tc>
      </w:tr>
      <w:tr>
        <w:trPr>
          <w:trHeight w:val="158"/>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Non-GAAP revenue</w:t>
            </w:r>
          </w:p>
        </w:tc>
        <w:tc>
          <w:tcPr>
            <w:tcW w:w="96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150.9</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168.0</w:t>
            </w: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11 %</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172.0</w:t>
            </w: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14 %</w:t>
            </w: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100" w:type="dxa"/>
            <w:vAlign w:val="bottom"/>
          </w:tcPr>
          <w:p>
            <w:pPr>
              <w:spacing w:after="0"/>
              <w:rPr>
                <w:sz w:val="20"/>
                <w:szCs w:val="20"/>
                <w:color w:val="auto"/>
              </w:rPr>
            </w:pPr>
            <w:r>
              <w:rPr>
                <w:rFonts w:ascii="Arial" w:cs="Arial" w:eastAsia="Arial" w:hAnsi="Arial"/>
                <w:sz w:val="12"/>
                <w:szCs w:val="12"/>
                <w:b w:val="1"/>
                <w:bCs w:val="1"/>
                <w:color w:val="auto"/>
              </w:rPr>
              <w:t>Q2 2023 Non-GAAP Earnings per Share Guidance</w:t>
            </w:r>
          </w:p>
        </w:tc>
        <w:tc>
          <w:tcPr>
            <w:tcW w:w="2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w w:val="98"/>
              </w:rPr>
              <w:t>Three Months Ending May 31, 2023</w:t>
            </w: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Low</w:t>
            </w: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High</w:t>
            </w:r>
          </w:p>
        </w:tc>
        <w:tc>
          <w:tcPr>
            <w:tcW w:w="0" w:type="dxa"/>
            <w:vAlign w:val="bottom"/>
          </w:tcPr>
          <w:p>
            <w:pPr>
              <w:spacing w:after="0"/>
              <w:rPr>
                <w:sz w:val="1"/>
                <w:szCs w:val="1"/>
                <w:color w:val="auto"/>
              </w:rPr>
            </w:pPr>
          </w:p>
        </w:tc>
      </w:tr>
      <w:tr>
        <w:trPr>
          <w:trHeight w:val="142"/>
        </w:trPr>
        <w:tc>
          <w:tcPr>
            <w:tcW w:w="41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GAAP diluted earnings per share</w:t>
            </w:r>
          </w:p>
        </w:tc>
        <w:tc>
          <w:tcPr>
            <w:tcW w:w="3700" w:type="dxa"/>
            <w:vAlign w:val="bottom"/>
            <w:gridSpan w:val="2"/>
            <w:shd w:val="clear" w:color="auto" w:fill="CCEEFF"/>
          </w:tcPr>
          <w:p>
            <w:pPr>
              <w:jc w:val="right"/>
              <w:ind w:right="13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center"/>
              <w:ind w:left="600"/>
              <w:spacing w:after="0"/>
              <w:rPr>
                <w:sz w:val="20"/>
                <w:szCs w:val="20"/>
                <w:color w:val="auto"/>
              </w:rPr>
            </w:pPr>
            <w:r>
              <w:rPr>
                <w:rFonts w:ascii="Arial" w:cs="Arial" w:eastAsia="Arial" w:hAnsi="Arial"/>
                <w:sz w:val="12"/>
                <w:szCs w:val="12"/>
                <w:color w:val="auto"/>
                <w:w w:val="85"/>
              </w:rPr>
              <w:t>0.12</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center"/>
              <w:ind w:left="1100"/>
              <w:spacing w:after="0"/>
              <w:rPr>
                <w:sz w:val="20"/>
                <w:szCs w:val="20"/>
                <w:color w:val="auto"/>
              </w:rPr>
            </w:pPr>
            <w:r>
              <w:rPr>
                <w:rFonts w:ascii="Arial" w:cs="Arial" w:eastAsia="Arial" w:hAnsi="Arial"/>
                <w:sz w:val="12"/>
                <w:szCs w:val="12"/>
                <w:color w:val="auto"/>
                <w:w w:val="85"/>
              </w:rPr>
              <w:t>0.16</w:t>
            </w: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Arial" w:cs="Arial" w:eastAsia="Arial" w:hAnsi="Arial"/>
                <w:sz w:val="12"/>
                <w:szCs w:val="12"/>
                <w:color w:val="auto"/>
              </w:rPr>
              <w:t>Acquisition-related revenue</w:t>
            </w:r>
          </w:p>
        </w:tc>
        <w:tc>
          <w:tcPr>
            <w:tcW w:w="2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jc w:val="center"/>
              <w:ind w:left="600"/>
              <w:spacing w:after="0"/>
              <w:rPr>
                <w:sz w:val="20"/>
                <w:szCs w:val="20"/>
                <w:color w:val="auto"/>
              </w:rPr>
            </w:pPr>
            <w:r>
              <w:rPr>
                <w:rFonts w:ascii="Arial" w:cs="Arial" w:eastAsia="Arial" w:hAnsi="Arial"/>
                <w:sz w:val="12"/>
                <w:szCs w:val="12"/>
                <w:color w:val="auto"/>
                <w:w w:val="85"/>
              </w:rPr>
              <w:t>0.02</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tcPr>
          <w:p>
            <w:pPr>
              <w:jc w:val="center"/>
              <w:ind w:left="1100"/>
              <w:spacing w:after="0"/>
              <w:rPr>
                <w:sz w:val="20"/>
                <w:szCs w:val="20"/>
                <w:color w:val="auto"/>
              </w:rPr>
            </w:pPr>
            <w:r>
              <w:rPr>
                <w:rFonts w:ascii="Arial" w:cs="Arial" w:eastAsia="Arial" w:hAnsi="Arial"/>
                <w:sz w:val="12"/>
                <w:szCs w:val="12"/>
                <w:color w:val="auto"/>
                <w:w w:val="85"/>
              </w:rPr>
              <w:t>0.02</w:t>
            </w:r>
          </w:p>
        </w:tc>
        <w:tc>
          <w:tcPr>
            <w:tcW w:w="0" w:type="dxa"/>
            <w:vAlign w:val="bottom"/>
          </w:tcPr>
          <w:p>
            <w:pPr>
              <w:spacing w:after="0"/>
              <w:rPr>
                <w:sz w:val="1"/>
                <w:szCs w:val="1"/>
                <w:color w:val="auto"/>
              </w:rPr>
            </w:pPr>
          </w:p>
        </w:tc>
      </w:tr>
      <w:tr>
        <w:trPr>
          <w:trHeight w:val="153"/>
        </w:trPr>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Acquisition-related expense</w:t>
            </w:r>
          </w:p>
        </w:tc>
        <w:tc>
          <w:tcPr>
            <w:tcW w:w="22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left="600"/>
              <w:spacing w:after="0"/>
              <w:rPr>
                <w:sz w:val="20"/>
                <w:szCs w:val="20"/>
                <w:color w:val="auto"/>
              </w:rPr>
            </w:pPr>
            <w:r>
              <w:rPr>
                <w:rFonts w:ascii="Arial" w:cs="Arial" w:eastAsia="Arial" w:hAnsi="Arial"/>
                <w:sz w:val="12"/>
                <w:szCs w:val="12"/>
                <w:color w:val="auto"/>
                <w:w w:val="85"/>
              </w:rPr>
              <w:t>0.03</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80" w:type="dxa"/>
            <w:vAlign w:val="bottom"/>
            <w:shd w:val="clear" w:color="auto" w:fill="CCEEFF"/>
          </w:tcPr>
          <w:p>
            <w:pPr>
              <w:jc w:val="center"/>
              <w:ind w:left="1100"/>
              <w:spacing w:after="0"/>
              <w:rPr>
                <w:sz w:val="20"/>
                <w:szCs w:val="20"/>
                <w:color w:val="auto"/>
              </w:rPr>
            </w:pPr>
            <w:r>
              <w:rPr>
                <w:rFonts w:ascii="Arial" w:cs="Arial" w:eastAsia="Arial" w:hAnsi="Arial"/>
                <w:sz w:val="12"/>
                <w:szCs w:val="12"/>
                <w:color w:val="auto"/>
                <w:w w:val="85"/>
              </w:rPr>
              <w:t>0.03</w:t>
            </w: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Arial" w:cs="Arial" w:eastAsia="Arial" w:hAnsi="Arial"/>
                <w:sz w:val="12"/>
                <w:szCs w:val="12"/>
                <w:color w:val="auto"/>
              </w:rPr>
              <w:t>Restructure expense</w:t>
            </w:r>
          </w:p>
        </w:tc>
        <w:tc>
          <w:tcPr>
            <w:tcW w:w="2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jc w:val="center"/>
              <w:ind w:left="600"/>
              <w:spacing w:after="0"/>
              <w:rPr>
                <w:sz w:val="20"/>
                <w:szCs w:val="20"/>
                <w:color w:val="auto"/>
              </w:rPr>
            </w:pPr>
            <w:r>
              <w:rPr>
                <w:rFonts w:ascii="Arial" w:cs="Arial" w:eastAsia="Arial" w:hAnsi="Arial"/>
                <w:sz w:val="12"/>
                <w:szCs w:val="12"/>
                <w:color w:val="auto"/>
                <w:w w:val="85"/>
              </w:rPr>
              <w:t>0.06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tcPr>
          <w:p>
            <w:pPr>
              <w:jc w:val="center"/>
              <w:ind w:left="1100"/>
              <w:spacing w:after="0"/>
              <w:rPr>
                <w:sz w:val="20"/>
                <w:szCs w:val="20"/>
                <w:color w:val="auto"/>
              </w:rPr>
            </w:pPr>
            <w:r>
              <w:rPr>
                <w:rFonts w:ascii="Arial" w:cs="Arial" w:eastAsia="Arial" w:hAnsi="Arial"/>
                <w:sz w:val="12"/>
                <w:szCs w:val="12"/>
                <w:color w:val="auto"/>
                <w:w w:val="85"/>
              </w:rPr>
              <w:t>0.06</w:t>
            </w:r>
          </w:p>
        </w:tc>
        <w:tc>
          <w:tcPr>
            <w:tcW w:w="0" w:type="dxa"/>
            <w:vAlign w:val="bottom"/>
          </w:tcPr>
          <w:p>
            <w:pPr>
              <w:spacing w:after="0"/>
              <w:rPr>
                <w:sz w:val="1"/>
                <w:szCs w:val="1"/>
                <w:color w:val="auto"/>
              </w:rPr>
            </w:pPr>
          </w:p>
        </w:tc>
      </w:tr>
      <w:tr>
        <w:trPr>
          <w:trHeight w:val="153"/>
        </w:trPr>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w:t>
            </w:r>
          </w:p>
        </w:tc>
        <w:tc>
          <w:tcPr>
            <w:tcW w:w="22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left="600"/>
              <w:spacing w:after="0"/>
              <w:rPr>
                <w:sz w:val="20"/>
                <w:szCs w:val="20"/>
                <w:color w:val="auto"/>
              </w:rPr>
            </w:pPr>
            <w:r>
              <w:rPr>
                <w:rFonts w:ascii="Arial" w:cs="Arial" w:eastAsia="Arial" w:hAnsi="Arial"/>
                <w:sz w:val="12"/>
                <w:szCs w:val="12"/>
                <w:color w:val="auto"/>
                <w:w w:val="85"/>
              </w:rPr>
              <w:t>0.24</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80" w:type="dxa"/>
            <w:vAlign w:val="bottom"/>
            <w:shd w:val="clear" w:color="auto" w:fill="CCEEFF"/>
          </w:tcPr>
          <w:p>
            <w:pPr>
              <w:jc w:val="center"/>
              <w:ind w:left="1100"/>
              <w:spacing w:after="0"/>
              <w:rPr>
                <w:sz w:val="20"/>
                <w:szCs w:val="20"/>
                <w:color w:val="auto"/>
              </w:rPr>
            </w:pPr>
            <w:r>
              <w:rPr>
                <w:rFonts w:ascii="Arial" w:cs="Arial" w:eastAsia="Arial" w:hAnsi="Arial"/>
                <w:sz w:val="12"/>
                <w:szCs w:val="12"/>
                <w:color w:val="auto"/>
                <w:w w:val="85"/>
              </w:rPr>
              <w:t>0.24</w:t>
            </w: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Arial" w:cs="Arial" w:eastAsia="Arial" w:hAnsi="Arial"/>
                <w:sz w:val="12"/>
                <w:szCs w:val="12"/>
                <w:color w:val="auto"/>
              </w:rPr>
              <w:t>Amortization of acquired intangibles</w:t>
            </w:r>
          </w:p>
        </w:tc>
        <w:tc>
          <w:tcPr>
            <w:tcW w:w="2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jc w:val="center"/>
              <w:ind w:left="600"/>
              <w:spacing w:after="0"/>
              <w:rPr>
                <w:sz w:val="20"/>
                <w:szCs w:val="20"/>
                <w:color w:val="auto"/>
              </w:rPr>
            </w:pPr>
            <w:r>
              <w:rPr>
                <w:rFonts w:ascii="Arial" w:cs="Arial" w:eastAsia="Arial" w:hAnsi="Arial"/>
                <w:sz w:val="12"/>
                <w:szCs w:val="12"/>
                <w:color w:val="auto"/>
                <w:w w:val="85"/>
              </w:rPr>
              <w:t>0.59</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tcPr>
          <w:p>
            <w:pPr>
              <w:jc w:val="center"/>
              <w:ind w:left="1100"/>
              <w:spacing w:after="0"/>
              <w:rPr>
                <w:sz w:val="20"/>
                <w:szCs w:val="20"/>
                <w:color w:val="auto"/>
              </w:rPr>
            </w:pPr>
            <w:r>
              <w:rPr>
                <w:rFonts w:ascii="Arial" w:cs="Arial" w:eastAsia="Arial" w:hAnsi="Arial"/>
                <w:sz w:val="12"/>
                <w:szCs w:val="12"/>
                <w:color w:val="auto"/>
                <w:w w:val="85"/>
              </w:rPr>
              <w:t>0.59</w:t>
            </w:r>
          </w:p>
        </w:tc>
        <w:tc>
          <w:tcPr>
            <w:tcW w:w="0" w:type="dxa"/>
            <w:vAlign w:val="bottom"/>
          </w:tcPr>
          <w:p>
            <w:pPr>
              <w:spacing w:after="0"/>
              <w:rPr>
                <w:sz w:val="1"/>
                <w:szCs w:val="1"/>
                <w:color w:val="auto"/>
              </w:rPr>
            </w:pPr>
          </w:p>
        </w:tc>
      </w:tr>
      <w:tr>
        <w:trPr>
          <w:trHeight w:val="153"/>
        </w:trPr>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Cyber incident</w:t>
            </w:r>
          </w:p>
        </w:tc>
        <w:tc>
          <w:tcPr>
            <w:tcW w:w="224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center"/>
              <w:ind w:left="600"/>
              <w:spacing w:after="0"/>
              <w:rPr>
                <w:sz w:val="20"/>
                <w:szCs w:val="20"/>
                <w:color w:val="auto"/>
              </w:rPr>
            </w:pPr>
            <w:r>
              <w:rPr>
                <w:rFonts w:ascii="Arial" w:cs="Arial" w:eastAsia="Arial" w:hAnsi="Arial"/>
                <w:sz w:val="12"/>
                <w:szCs w:val="12"/>
                <w:color w:val="auto"/>
                <w:w w:val="85"/>
              </w:rPr>
              <w:t>0.01</w:t>
            </w: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center"/>
              <w:ind w:left="1100"/>
              <w:spacing w:after="0"/>
              <w:rPr>
                <w:sz w:val="20"/>
                <w:szCs w:val="20"/>
                <w:color w:val="auto"/>
              </w:rPr>
            </w:pPr>
            <w:r>
              <w:rPr>
                <w:rFonts w:ascii="Arial" w:cs="Arial" w:eastAsia="Arial" w:hAnsi="Arial"/>
                <w:sz w:val="12"/>
                <w:szCs w:val="12"/>
                <w:color w:val="auto"/>
                <w:w w:val="85"/>
              </w:rPr>
              <w:t>0.01</w:t>
            </w:r>
          </w:p>
        </w:tc>
        <w:tc>
          <w:tcPr>
            <w:tcW w:w="0" w:type="dxa"/>
            <w:vAlign w:val="bottom"/>
          </w:tcPr>
          <w:p>
            <w:pPr>
              <w:spacing w:after="0"/>
              <w:rPr>
                <w:sz w:val="1"/>
                <w:szCs w:val="1"/>
                <w:color w:val="auto"/>
              </w:rPr>
            </w:pPr>
          </w:p>
        </w:tc>
      </w:tr>
      <w:tr>
        <w:trPr>
          <w:trHeight w:val="142"/>
        </w:trPr>
        <w:tc>
          <w:tcPr>
            <w:tcW w:w="4100" w:type="dxa"/>
            <w:vAlign w:val="bottom"/>
          </w:tcPr>
          <w:p>
            <w:pPr>
              <w:ind w:left="300"/>
              <w:spacing w:after="0" w:line="133" w:lineRule="exact"/>
              <w:rPr>
                <w:sz w:val="20"/>
                <w:szCs w:val="20"/>
                <w:color w:val="auto"/>
              </w:rPr>
            </w:pPr>
            <w:r>
              <w:rPr>
                <w:rFonts w:ascii="Arial" w:cs="Arial" w:eastAsia="Arial" w:hAnsi="Arial"/>
                <w:sz w:val="12"/>
                <w:szCs w:val="12"/>
                <w:color w:val="auto"/>
              </w:rPr>
              <w:t>Total adjustments</w:t>
            </w:r>
          </w:p>
        </w:tc>
        <w:tc>
          <w:tcPr>
            <w:tcW w:w="2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jc w:val="center"/>
              <w:ind w:left="600"/>
              <w:spacing w:after="0"/>
              <w:rPr>
                <w:sz w:val="20"/>
                <w:szCs w:val="20"/>
                <w:color w:val="auto"/>
              </w:rPr>
            </w:pPr>
            <w:r>
              <w:rPr>
                <w:rFonts w:ascii="Arial" w:cs="Arial" w:eastAsia="Arial" w:hAnsi="Arial"/>
                <w:sz w:val="12"/>
                <w:szCs w:val="12"/>
                <w:color w:val="auto"/>
                <w:w w:val="85"/>
              </w:rPr>
              <w:t>0.95</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jc w:val="center"/>
              <w:ind w:left="1100"/>
              <w:spacing w:after="0"/>
              <w:rPr>
                <w:sz w:val="20"/>
                <w:szCs w:val="20"/>
                <w:color w:val="auto"/>
              </w:rPr>
            </w:pPr>
            <w:r>
              <w:rPr>
                <w:rFonts w:ascii="Arial" w:cs="Arial" w:eastAsia="Arial" w:hAnsi="Arial"/>
                <w:sz w:val="12"/>
                <w:szCs w:val="12"/>
                <w:color w:val="auto"/>
                <w:w w:val="85"/>
              </w:rPr>
              <w:t>0.95</w:t>
            </w:r>
          </w:p>
        </w:tc>
        <w:tc>
          <w:tcPr>
            <w:tcW w:w="0" w:type="dxa"/>
            <w:vAlign w:val="bottom"/>
          </w:tcPr>
          <w:p>
            <w:pPr>
              <w:spacing w:after="0"/>
              <w:rPr>
                <w:sz w:val="1"/>
                <w:szCs w:val="1"/>
                <w:color w:val="auto"/>
              </w:rPr>
            </w:pPr>
          </w:p>
        </w:tc>
      </w:tr>
      <w:tr>
        <w:trPr>
          <w:trHeight w:val="153"/>
        </w:trPr>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 adjustment</w:t>
            </w:r>
          </w:p>
        </w:tc>
        <w:tc>
          <w:tcPr>
            <w:tcW w:w="224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center"/>
              <w:ind w:left="580"/>
              <w:spacing w:after="0"/>
              <w:rPr>
                <w:sz w:val="20"/>
                <w:szCs w:val="20"/>
                <w:color w:val="auto"/>
              </w:rPr>
            </w:pPr>
            <w:r>
              <w:rPr>
                <w:rFonts w:ascii="Arial" w:cs="Arial" w:eastAsia="Arial" w:hAnsi="Arial"/>
                <w:sz w:val="12"/>
                <w:szCs w:val="12"/>
                <w:color w:val="auto"/>
                <w:w w:val="95"/>
              </w:rPr>
              <w:t>(0.19)</w:t>
            </w: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center"/>
              <w:ind w:left="1080"/>
              <w:spacing w:after="0"/>
              <w:rPr>
                <w:sz w:val="20"/>
                <w:szCs w:val="20"/>
                <w:color w:val="auto"/>
              </w:rPr>
            </w:pPr>
            <w:r>
              <w:rPr>
                <w:rFonts w:ascii="Arial" w:cs="Arial" w:eastAsia="Arial" w:hAnsi="Arial"/>
                <w:sz w:val="12"/>
                <w:szCs w:val="12"/>
                <w:color w:val="auto"/>
                <w:w w:val="95"/>
              </w:rPr>
              <w:t>(0.19)</w:t>
            </w:r>
          </w:p>
        </w:tc>
        <w:tc>
          <w:tcPr>
            <w:tcW w:w="0" w:type="dxa"/>
            <w:vAlign w:val="bottom"/>
          </w:tcPr>
          <w:p>
            <w:pPr>
              <w:spacing w:after="0"/>
              <w:rPr>
                <w:sz w:val="1"/>
                <w:szCs w:val="1"/>
                <w:color w:val="auto"/>
              </w:rPr>
            </w:pPr>
          </w:p>
        </w:tc>
      </w:tr>
      <w:tr>
        <w:trPr>
          <w:trHeight w:val="142"/>
        </w:trPr>
        <w:tc>
          <w:tcPr>
            <w:tcW w:w="4100" w:type="dxa"/>
            <w:vAlign w:val="bottom"/>
          </w:tcPr>
          <w:p>
            <w:pPr>
              <w:spacing w:after="0" w:line="133" w:lineRule="exact"/>
              <w:rPr>
                <w:sz w:val="20"/>
                <w:szCs w:val="20"/>
                <w:color w:val="auto"/>
              </w:rPr>
            </w:pPr>
            <w:r>
              <w:rPr>
                <w:rFonts w:ascii="Arial" w:cs="Arial" w:eastAsia="Arial" w:hAnsi="Arial"/>
                <w:sz w:val="12"/>
                <w:szCs w:val="12"/>
                <w:color w:val="auto"/>
              </w:rPr>
              <w:t>Non-GAAP diluted earnings per share</w:t>
            </w:r>
          </w:p>
        </w:tc>
        <w:tc>
          <w:tcPr>
            <w:tcW w:w="3700" w:type="dxa"/>
            <w:vAlign w:val="bottom"/>
            <w:gridSpan w:val="2"/>
          </w:tcPr>
          <w:p>
            <w:pPr>
              <w:jc w:val="right"/>
              <w:ind w:right="1320"/>
              <w:spacing w:after="0"/>
              <w:rPr>
                <w:sz w:val="20"/>
                <w:szCs w:val="20"/>
                <w:color w:val="auto"/>
              </w:rPr>
            </w:pPr>
            <w:r>
              <w:rPr>
                <w:rFonts w:ascii="Arial" w:cs="Arial" w:eastAsia="Arial" w:hAnsi="Arial"/>
                <w:sz w:val="12"/>
                <w:szCs w:val="12"/>
                <w:color w:val="auto"/>
              </w:rPr>
              <w:t>$</w:t>
            </w:r>
          </w:p>
        </w:tc>
        <w:tc>
          <w:tcPr>
            <w:tcW w:w="980" w:type="dxa"/>
            <w:vAlign w:val="bottom"/>
          </w:tcPr>
          <w:p>
            <w:pPr>
              <w:jc w:val="center"/>
              <w:ind w:left="600"/>
              <w:spacing w:after="0"/>
              <w:rPr>
                <w:sz w:val="20"/>
                <w:szCs w:val="20"/>
                <w:color w:val="auto"/>
              </w:rPr>
            </w:pPr>
            <w:r>
              <w:rPr>
                <w:rFonts w:ascii="Arial" w:cs="Arial" w:eastAsia="Arial" w:hAnsi="Arial"/>
                <w:sz w:val="12"/>
                <w:szCs w:val="12"/>
                <w:color w:val="auto"/>
                <w:w w:val="85"/>
              </w:rPr>
              <w:t>0.88</w:t>
            </w:r>
          </w:p>
        </w:tc>
        <w:tc>
          <w:tcPr>
            <w:tcW w:w="80" w:type="dxa"/>
            <w:vAlign w:val="bottom"/>
          </w:tcPr>
          <w:p>
            <w:pPr>
              <w:spacing w:after="0"/>
              <w:rPr>
                <w:sz w:val="12"/>
                <w:szCs w:val="12"/>
                <w:color w:val="auto"/>
              </w:rPr>
            </w:pPr>
          </w:p>
        </w:tc>
        <w:tc>
          <w:tcPr>
            <w:tcW w:w="960" w:type="dxa"/>
            <w:vAlign w:val="bottom"/>
          </w:tcPr>
          <w:p>
            <w:pPr>
              <w:jc w:val="right"/>
              <w:ind w:right="82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center"/>
              <w:ind w:left="1100"/>
              <w:spacing w:after="0"/>
              <w:rPr>
                <w:sz w:val="20"/>
                <w:szCs w:val="20"/>
                <w:color w:val="auto"/>
              </w:rPr>
            </w:pPr>
            <w:r>
              <w:rPr>
                <w:rFonts w:ascii="Arial" w:cs="Arial" w:eastAsia="Arial" w:hAnsi="Arial"/>
                <w:sz w:val="12"/>
                <w:szCs w:val="12"/>
                <w:color w:val="auto"/>
                <w:w w:val="85"/>
              </w:rPr>
              <w:t>0.92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40" w:type="dxa"/>
            <w:vAlign w:val="bottom"/>
            <w:vMerge w:val="restart"/>
          </w:tcPr>
          <w:p>
            <w:pPr>
              <w:jc w:val="right"/>
              <w:ind w:right="580"/>
              <w:spacing w:after="0"/>
              <w:rPr>
                <w:sz w:val="20"/>
                <w:szCs w:val="20"/>
                <w:color w:val="auto"/>
              </w:rPr>
            </w:pPr>
            <w:r>
              <w:rPr>
                <w:rFonts w:ascii="Arial" w:cs="Arial" w:eastAsia="Arial" w:hAnsi="Arial"/>
                <w:sz w:val="12"/>
                <w:szCs w:val="12"/>
                <w:color w:val="auto"/>
              </w:rPr>
              <w:t>12</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41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76" w:right="299" w:bottom="1440" w:gutter="0" w:footer="0" w:header="0"/>
          <w:type w:val="continuous"/>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2023-03-28T16:50:50Z</dcterms:created>
  <dcterms:modified xsi:type="dcterms:W3CDTF">2023-03-28T16:50:50Z</dcterms:modified>
</cp:coreProperties>
</file>